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31"/>
        <w:jc w:val="both"/>
        <w:rPr>
          <w:b/>
          <w:w w:val="70"/>
          <w:sz w:val="64"/>
        </w:rPr>
      </w:pPr>
    </w:p>
    <w:p>
      <w:pPr>
        <w:spacing w:before="31"/>
        <w:jc w:val="center"/>
        <w:rPr>
          <w:b/>
          <w:w w:val="70"/>
          <w:sz w:val="64"/>
        </w:rPr>
      </w:pPr>
      <w:r>
        <w:rPr>
          <w:rFonts w:hint="eastAsia"/>
          <w:b/>
          <w:w w:val="70"/>
          <w:sz w:val="64"/>
        </w:rPr>
        <w:t>金乡县人民医院检验科及病理科</w:t>
      </w:r>
    </w:p>
    <w:p>
      <w:pPr>
        <w:spacing w:before="31"/>
        <w:jc w:val="center"/>
        <w:rPr>
          <w:b/>
          <w:sz w:val="64"/>
        </w:rPr>
      </w:pPr>
      <w:r>
        <w:rPr>
          <w:rFonts w:hint="eastAsia"/>
          <w:b/>
          <w:w w:val="70"/>
          <w:sz w:val="64"/>
        </w:rPr>
        <w:t>外包检查项目（</w:t>
      </w:r>
      <w:r>
        <w:rPr>
          <w:rFonts w:hint="eastAsia"/>
          <w:b/>
          <w:w w:val="70"/>
          <w:sz w:val="64"/>
          <w:lang w:val="en-US"/>
        </w:rPr>
        <w:t>A包</w:t>
      </w:r>
      <w:r>
        <w:rPr>
          <w:rFonts w:hint="eastAsia"/>
          <w:b/>
          <w:w w:val="70"/>
          <w:sz w:val="64"/>
        </w:rPr>
        <w:t>）三次</w:t>
      </w:r>
    </w:p>
    <w:p>
      <w:pPr>
        <w:pStyle w:val="8"/>
        <w:jc w:val="center"/>
        <w:rPr>
          <w:rFonts w:ascii="Times New Roman"/>
          <w:b/>
          <w:sz w:val="28"/>
          <w:szCs w:val="28"/>
          <w:lang w:val="en-US"/>
        </w:rPr>
      </w:pPr>
      <w:r>
        <w:rPr>
          <w:rFonts w:hint="eastAsia" w:ascii="Times New Roman"/>
          <w:b/>
          <w:sz w:val="28"/>
          <w:szCs w:val="28"/>
        </w:rPr>
        <w:t>项目编号：</w:t>
      </w:r>
      <w:r>
        <w:rPr>
          <w:rFonts w:hint="eastAsia" w:ascii="Times New Roman"/>
          <w:b/>
          <w:sz w:val="28"/>
          <w:szCs w:val="28"/>
          <w:lang w:val="en-US"/>
        </w:rPr>
        <w:t>JXCGWT2018-GK-051-1</w:t>
      </w:r>
    </w:p>
    <w:p>
      <w:pPr>
        <w:pStyle w:val="8"/>
        <w:spacing w:before="8"/>
        <w:rPr>
          <w:rFonts w:ascii="Times New Roman"/>
          <w:b/>
          <w:sz w:val="62"/>
        </w:rPr>
      </w:pPr>
    </w:p>
    <w:p>
      <w:pPr>
        <w:pStyle w:val="8"/>
        <w:spacing w:before="8"/>
        <w:rPr>
          <w:rFonts w:ascii="Times New Roman"/>
          <w:b/>
          <w:sz w:val="62"/>
        </w:rPr>
      </w:pPr>
    </w:p>
    <w:p>
      <w:pPr>
        <w:pStyle w:val="8"/>
        <w:spacing w:before="8"/>
        <w:rPr>
          <w:rFonts w:ascii="Times New Roman"/>
          <w:b/>
          <w:sz w:val="62"/>
        </w:rPr>
      </w:pPr>
    </w:p>
    <w:p>
      <w:pPr>
        <w:pStyle w:val="8"/>
        <w:spacing w:before="8"/>
        <w:rPr>
          <w:rFonts w:ascii="Times New Roman"/>
          <w:b/>
          <w:sz w:val="62"/>
        </w:rPr>
      </w:pPr>
    </w:p>
    <w:p>
      <w:pPr>
        <w:spacing w:before="1"/>
        <w:ind w:left="2002" w:right="2158"/>
        <w:jc w:val="center"/>
        <w:rPr>
          <w:b/>
          <w:sz w:val="72"/>
        </w:rPr>
      </w:pPr>
      <w:r>
        <w:rPr>
          <w:b/>
          <w:sz w:val="72"/>
        </w:rPr>
        <w:t>招标文件</w:t>
      </w: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72"/>
        </w:rPr>
      </w:pPr>
    </w:p>
    <w:p>
      <w:pPr>
        <w:pStyle w:val="8"/>
        <w:rPr>
          <w:b/>
          <w:sz w:val="72"/>
        </w:rPr>
      </w:pPr>
    </w:p>
    <w:p>
      <w:pPr>
        <w:pStyle w:val="8"/>
        <w:spacing w:before="3"/>
        <w:rPr>
          <w:b/>
          <w:sz w:val="98"/>
        </w:rPr>
      </w:pPr>
    </w:p>
    <w:p>
      <w:pPr>
        <w:spacing w:line="408" w:lineRule="auto"/>
        <w:ind w:right="2161" w:firstLine="1928" w:firstLineChars="600"/>
        <w:jc w:val="both"/>
        <w:rPr>
          <w:b/>
          <w:sz w:val="32"/>
        </w:rPr>
      </w:pPr>
      <w:r>
        <w:rPr>
          <w:b/>
          <w:sz w:val="32"/>
        </w:rPr>
        <w:t>招标单位：</w:t>
      </w:r>
      <w:r>
        <w:rPr>
          <w:rFonts w:hint="eastAsia"/>
          <w:b/>
          <w:sz w:val="32"/>
        </w:rPr>
        <w:t>金乡县人民医院</w:t>
      </w:r>
    </w:p>
    <w:p>
      <w:pPr>
        <w:spacing w:line="408" w:lineRule="auto"/>
        <w:ind w:right="2161" w:firstLine="1928" w:firstLineChars="600"/>
        <w:jc w:val="both"/>
        <w:rPr>
          <w:b/>
          <w:sz w:val="32"/>
        </w:rPr>
      </w:pPr>
      <w:r>
        <w:rPr>
          <w:b/>
          <w:sz w:val="32"/>
        </w:rPr>
        <w:t>代理机构：</w:t>
      </w:r>
      <w:r>
        <w:rPr>
          <w:rFonts w:hint="eastAsia"/>
          <w:b/>
          <w:sz w:val="32"/>
        </w:rPr>
        <w:t>中正信造价咨询有限公司</w:t>
      </w:r>
    </w:p>
    <w:p>
      <w:pPr>
        <w:spacing w:before="5"/>
        <w:ind w:right="2161" w:firstLine="1928" w:firstLineChars="600"/>
        <w:jc w:val="both"/>
        <w:rPr>
          <w:b/>
          <w:sz w:val="32"/>
        </w:rPr>
      </w:pPr>
      <w:r>
        <w:rPr>
          <w:rFonts w:hint="eastAsia"/>
          <w:b/>
          <w:sz w:val="32"/>
        </w:rPr>
        <w:t>日</w:t>
      </w:r>
      <w:r>
        <w:rPr>
          <w:rFonts w:hint="eastAsia"/>
          <w:b/>
          <w:sz w:val="32"/>
          <w:lang w:val="en-US"/>
        </w:rPr>
        <w:t xml:space="preserve">    </w:t>
      </w:r>
      <w:r>
        <w:rPr>
          <w:rFonts w:hint="eastAsia"/>
          <w:b/>
          <w:sz w:val="32"/>
        </w:rPr>
        <w:t>期：二</w:t>
      </w:r>
      <w:r>
        <w:rPr>
          <w:rFonts w:hint="eastAsia"/>
          <w:b/>
          <w:sz w:val="32"/>
          <w:lang w:val="en-US"/>
        </w:rPr>
        <w:t>O一九</w:t>
      </w:r>
      <w:r>
        <w:rPr>
          <w:b/>
          <w:spacing w:val="-54"/>
          <w:sz w:val="32"/>
        </w:rPr>
        <w:t>年</w:t>
      </w:r>
      <w:r>
        <w:rPr>
          <w:rFonts w:hint="eastAsia"/>
          <w:b/>
          <w:spacing w:val="-54"/>
          <w:sz w:val="32"/>
          <w:lang w:val="en-US"/>
        </w:rPr>
        <w:t xml:space="preserve">   四</w:t>
      </w:r>
      <w:r>
        <w:rPr>
          <w:b/>
          <w:spacing w:val="-41"/>
          <w:sz w:val="32"/>
        </w:rPr>
        <w:t>月</w:t>
      </w:r>
    </w:p>
    <w:p>
      <w:pPr>
        <w:jc w:val="center"/>
        <w:rPr>
          <w:sz w:val="32"/>
        </w:rPr>
        <w:sectPr>
          <w:headerReference r:id="rId6" w:type="first"/>
          <w:footerReference r:id="rId9" w:type="first"/>
          <w:headerReference r:id="rId4" w:type="default"/>
          <w:footerReference r:id="rId7" w:type="default"/>
          <w:headerReference r:id="rId5" w:type="even"/>
          <w:footerReference r:id="rId8" w:type="even"/>
          <w:pgSz w:w="11910" w:h="16840"/>
          <w:pgMar w:top="1600" w:right="660" w:bottom="280" w:left="820" w:header="720" w:footer="720" w:gutter="0"/>
          <w:cols w:space="720" w:num="1"/>
          <w:titlePg/>
        </w:sectPr>
      </w:pPr>
    </w:p>
    <w:p>
      <w:pPr>
        <w:spacing w:before="12"/>
        <w:jc w:val="center"/>
        <w:rPr>
          <w:b/>
          <w:color w:val="FF0000"/>
          <w:sz w:val="30"/>
          <w:szCs w:val="30"/>
        </w:rPr>
      </w:pPr>
      <w:r>
        <w:rPr>
          <w:rFonts w:hint="eastAsia"/>
          <w:b/>
          <w:sz w:val="32"/>
        </w:rPr>
        <w:t>金乡县人民医院检验科及病理科外包检查项目（A包）三次</w:t>
      </w:r>
    </w:p>
    <w:p>
      <w:pPr>
        <w:spacing w:line="560" w:lineRule="exact"/>
        <w:jc w:val="center"/>
        <w:rPr>
          <w:b/>
          <w:sz w:val="30"/>
          <w:szCs w:val="30"/>
        </w:rPr>
      </w:pPr>
      <w:r>
        <w:rPr>
          <w:rFonts w:hint="eastAsia"/>
          <w:b/>
          <w:sz w:val="30"/>
          <w:szCs w:val="30"/>
        </w:rPr>
        <w:t>公共资源交易事前信用承诺书</w:t>
      </w:r>
    </w:p>
    <w:p>
      <w:pPr>
        <w:spacing w:line="560" w:lineRule="exact"/>
        <w:jc w:val="center"/>
        <w:rPr>
          <w:b/>
          <w:sz w:val="30"/>
          <w:szCs w:val="30"/>
        </w:rPr>
      </w:pPr>
      <w:r>
        <w:rPr>
          <w:rFonts w:hint="eastAsia"/>
          <w:b/>
          <w:sz w:val="30"/>
          <w:szCs w:val="30"/>
        </w:rPr>
        <w:t>（招标单位）</w:t>
      </w:r>
    </w:p>
    <w:p>
      <w:pPr>
        <w:widowControl/>
        <w:spacing w:line="540" w:lineRule="exact"/>
        <w:rPr>
          <w:sz w:val="24"/>
        </w:rPr>
      </w:pPr>
      <w:r>
        <w:rPr>
          <w:rFonts w:hint="eastAsia"/>
          <w:sz w:val="24"/>
        </w:rPr>
        <w:t>为努力营造公开、公平、公正、诚实守信的公共资源交易环境，确保依法开展招投标活动，切实履行公共资源相关法律义务和社会责任，树立诚信守法交易的良好形象，本单位（机构）自愿承诺如下：</w:t>
      </w:r>
    </w:p>
    <w:p>
      <w:pPr>
        <w:widowControl/>
        <w:spacing w:line="540" w:lineRule="exact"/>
        <w:rPr>
          <w:sz w:val="24"/>
        </w:rPr>
      </w:pPr>
      <w:r>
        <w:rPr>
          <w:rFonts w:hint="eastAsia"/>
          <w:sz w:val="24"/>
        </w:rPr>
        <w:t>（一）本单位（机构）对所提交的单位（机构）基本信息、资质和资格、业绩、信誉、审批文件等所有资料，均合法、真实、准确、有效，无任何伪造、篡改、虚假成份，并对所提供资料的真实性负责。</w:t>
      </w:r>
    </w:p>
    <w:p>
      <w:pPr>
        <w:widowControl/>
        <w:spacing w:line="540" w:lineRule="exact"/>
        <w:rPr>
          <w:sz w:val="24"/>
        </w:rPr>
      </w:pPr>
      <w:r>
        <w:rPr>
          <w:sz w:val="24"/>
        </w:rPr>
        <w:t> </w:t>
      </w:r>
      <w:r>
        <w:rPr>
          <w:rFonts w:hint="eastAsia"/>
          <w:sz w:val="24"/>
        </w:rPr>
        <w:t>（二）严格依照国家和省市关于招标投标的法律、法规、规章、规范性文件，开展公共资源招标投标活动；积极履行社会责任，切实遵守廉政纪律，促进廉政建设。</w:t>
      </w:r>
    </w:p>
    <w:p>
      <w:pPr>
        <w:widowControl/>
        <w:spacing w:line="540" w:lineRule="exact"/>
        <w:rPr>
          <w:sz w:val="24"/>
        </w:rPr>
      </w:pPr>
      <w:r>
        <w:rPr>
          <w:sz w:val="24"/>
        </w:rPr>
        <w:t> </w:t>
      </w:r>
      <w:r>
        <w:rPr>
          <w:rFonts w:hint="eastAsia"/>
          <w:sz w:val="24"/>
        </w:rPr>
        <w:t>（三）严格遵守即时信息公示规定，及时维护和更新公共资源交易中心电子交易网网员库中信息。</w:t>
      </w:r>
    </w:p>
    <w:p>
      <w:pPr>
        <w:widowControl/>
        <w:spacing w:line="540" w:lineRule="exact"/>
        <w:rPr>
          <w:sz w:val="24"/>
        </w:rPr>
      </w:pPr>
      <w:r>
        <w:rPr>
          <w:sz w:val="24"/>
        </w:rPr>
        <w:t> </w:t>
      </w:r>
      <w:r>
        <w:rPr>
          <w:rFonts w:hint="eastAsia"/>
          <w:sz w:val="24"/>
        </w:rPr>
        <w:t>（四）严格自我约束、自我管理，坚持守合同、重信用。不从事、不参与规避招标、泄露保密资料、排斥歧视潜在投标人或参与围标串标、弄虚作假、干扰评标、违约毁约等行为，自觉维护公共资源交易工作的良好秩序。</w:t>
      </w:r>
    </w:p>
    <w:p>
      <w:pPr>
        <w:widowControl/>
        <w:spacing w:line="540" w:lineRule="exact"/>
        <w:rPr>
          <w:sz w:val="24"/>
        </w:rPr>
      </w:pPr>
      <w:r>
        <w:rPr>
          <w:sz w:val="24"/>
        </w:rPr>
        <w:t> </w:t>
      </w:r>
      <w:r>
        <w:rPr>
          <w:rFonts w:hint="eastAsia"/>
          <w:sz w:val="24"/>
        </w:rPr>
        <w:t>（五）自觉接受行政监管部门、行业组织、社会公众、新闻舆论的监督。</w:t>
      </w:r>
    </w:p>
    <w:p>
      <w:pPr>
        <w:widowControl/>
        <w:spacing w:line="540" w:lineRule="exact"/>
        <w:rPr>
          <w:sz w:val="24"/>
        </w:rPr>
      </w:pPr>
      <w:r>
        <w:rPr>
          <w:sz w:val="24"/>
        </w:rPr>
        <w:t> </w:t>
      </w:r>
      <w:r>
        <w:rPr>
          <w:rFonts w:hint="eastAsia"/>
          <w:sz w:val="24"/>
        </w:rPr>
        <w:t>（六）自愿接受公共资源交易监督管理机构和有关行政监督部门的依法检查。如发生违法违规或不良行为，自愿接受公共资源交易监督管理机构和有关行政监督部门依法给予的行政处罚（处理），并依法承担相应责任。</w:t>
      </w:r>
    </w:p>
    <w:p>
      <w:pPr>
        <w:widowControl/>
        <w:spacing w:line="540" w:lineRule="exact"/>
        <w:rPr>
          <w:sz w:val="24"/>
        </w:rPr>
      </w:pPr>
      <w:r>
        <w:rPr>
          <w:sz w:val="24"/>
        </w:rPr>
        <w:t> </w:t>
      </w:r>
      <w:r>
        <w:rPr>
          <w:rFonts w:hint="eastAsia"/>
          <w:sz w:val="24"/>
        </w:rPr>
        <w:t>特此承诺，敬请社会各界予以监督。</w:t>
      </w:r>
    </w:p>
    <w:p>
      <w:pPr>
        <w:widowControl/>
        <w:spacing w:line="540" w:lineRule="exact"/>
        <w:ind w:firstLine="4080" w:firstLineChars="1700"/>
        <w:rPr>
          <w:sz w:val="24"/>
        </w:rPr>
      </w:pPr>
      <w:r>
        <w:rPr>
          <w:rFonts w:hint="eastAsia"/>
          <w:sz w:val="24"/>
        </w:rPr>
        <w:t>承诺单位：（盖章）</w:t>
      </w:r>
    </w:p>
    <w:p>
      <w:pPr>
        <w:widowControl/>
        <w:spacing w:line="540" w:lineRule="exact"/>
        <w:ind w:firstLine="4080" w:firstLineChars="1700"/>
        <w:rPr>
          <w:sz w:val="24"/>
        </w:rPr>
      </w:pPr>
    </w:p>
    <w:p>
      <w:pPr>
        <w:spacing w:line="360" w:lineRule="auto"/>
        <w:jc w:val="center"/>
        <w:rPr>
          <w:sz w:val="24"/>
        </w:rPr>
      </w:pPr>
      <w:r>
        <w:rPr>
          <w:rFonts w:hint="eastAsia"/>
          <w:sz w:val="24"/>
        </w:rPr>
        <w:t xml:space="preserve">   年  月  日</w:t>
      </w:r>
    </w:p>
    <w:p>
      <w:pPr>
        <w:spacing w:before="12"/>
        <w:jc w:val="center"/>
        <w:rPr>
          <w:b/>
          <w:color w:val="FF0000"/>
          <w:sz w:val="30"/>
          <w:szCs w:val="30"/>
        </w:rPr>
      </w:pPr>
      <w:r>
        <w:rPr>
          <w:rFonts w:hint="eastAsia"/>
          <w:b/>
          <w:sz w:val="30"/>
          <w:szCs w:val="30"/>
        </w:rPr>
        <w:br w:type="page"/>
      </w:r>
      <w:r>
        <w:rPr>
          <w:rFonts w:hint="eastAsia"/>
          <w:b/>
          <w:sz w:val="32"/>
        </w:rPr>
        <w:t>金乡县人民医院检验科及病理科外包检查项目（A包）三次</w:t>
      </w:r>
    </w:p>
    <w:p>
      <w:pPr>
        <w:spacing w:line="560" w:lineRule="exact"/>
        <w:ind w:right="640"/>
        <w:jc w:val="center"/>
        <w:rPr>
          <w:b/>
          <w:sz w:val="30"/>
          <w:szCs w:val="30"/>
        </w:rPr>
      </w:pPr>
      <w:r>
        <w:rPr>
          <w:rFonts w:hint="eastAsia"/>
          <w:b/>
          <w:sz w:val="30"/>
          <w:szCs w:val="30"/>
        </w:rPr>
        <w:t>公共资源交易事前信用承诺书</w:t>
      </w:r>
    </w:p>
    <w:p>
      <w:pPr>
        <w:spacing w:line="560" w:lineRule="exact"/>
        <w:ind w:right="640"/>
        <w:jc w:val="center"/>
        <w:rPr>
          <w:b/>
          <w:sz w:val="30"/>
          <w:szCs w:val="30"/>
        </w:rPr>
      </w:pPr>
      <w:r>
        <w:rPr>
          <w:rFonts w:hint="eastAsia"/>
          <w:b/>
          <w:sz w:val="30"/>
          <w:szCs w:val="30"/>
        </w:rPr>
        <w:t>（招标代理机构）</w:t>
      </w:r>
    </w:p>
    <w:p>
      <w:pPr>
        <w:widowControl/>
        <w:spacing w:line="540" w:lineRule="exact"/>
        <w:rPr>
          <w:sz w:val="24"/>
        </w:rPr>
      </w:pPr>
      <w:r>
        <w:rPr>
          <w:rFonts w:hint="eastAsia"/>
          <w:sz w:val="24"/>
        </w:rPr>
        <w:t>为努力营造公开、公平、公正、诚实守信的公共资源交易环境，确保依法开展招投标活动，切实履行公共资源相关法律义务和社会责任，树立诚信守法交易的良好形象，本单位（机构）自愿承诺如下：</w:t>
      </w:r>
    </w:p>
    <w:p>
      <w:pPr>
        <w:widowControl/>
        <w:spacing w:line="540" w:lineRule="exact"/>
        <w:rPr>
          <w:sz w:val="24"/>
        </w:rPr>
      </w:pPr>
      <w:r>
        <w:rPr>
          <w:rFonts w:hint="eastAsia"/>
          <w:sz w:val="24"/>
        </w:rPr>
        <w:t>（一）本单位（机构）对所提交的单位（机构）基本信息、资质和资格、业绩、信誉、审批文件等所有资料，均合法、真实、准确、有效，无任何伪造、篡改、虚假成份，并对所提供资料的真实性负责。</w:t>
      </w:r>
    </w:p>
    <w:p>
      <w:pPr>
        <w:widowControl/>
        <w:spacing w:line="540" w:lineRule="exact"/>
        <w:rPr>
          <w:sz w:val="24"/>
        </w:rPr>
      </w:pPr>
      <w:r>
        <w:rPr>
          <w:sz w:val="24"/>
        </w:rPr>
        <w:t> </w:t>
      </w:r>
      <w:r>
        <w:rPr>
          <w:rFonts w:hint="eastAsia"/>
          <w:sz w:val="24"/>
        </w:rPr>
        <w:t>（二）严格依照国家和省市关于招标投标的法律、法规、规章、规范性文件，开展公共资源招标投标活动；积极履行社会责任，切实遵守廉政纪律，促进廉政建设。</w:t>
      </w:r>
    </w:p>
    <w:p>
      <w:pPr>
        <w:widowControl/>
        <w:spacing w:line="540" w:lineRule="exact"/>
        <w:rPr>
          <w:sz w:val="24"/>
        </w:rPr>
      </w:pPr>
      <w:r>
        <w:rPr>
          <w:sz w:val="24"/>
        </w:rPr>
        <w:t> </w:t>
      </w:r>
      <w:r>
        <w:rPr>
          <w:rFonts w:hint="eastAsia"/>
          <w:sz w:val="24"/>
        </w:rPr>
        <w:t>（三）严格遵守即时信息公示规定，及时维护和更新公共资源交易中心电子交易网网员库中信息。</w:t>
      </w:r>
    </w:p>
    <w:p>
      <w:pPr>
        <w:widowControl/>
        <w:spacing w:line="540" w:lineRule="exact"/>
        <w:rPr>
          <w:sz w:val="24"/>
        </w:rPr>
      </w:pPr>
      <w:r>
        <w:rPr>
          <w:sz w:val="24"/>
        </w:rPr>
        <w:t> </w:t>
      </w:r>
      <w:r>
        <w:rPr>
          <w:rFonts w:hint="eastAsia"/>
          <w:sz w:val="24"/>
        </w:rPr>
        <w:t>（四）严格自我约束、自我管理，坚持守合同、重信用。不从事、不参与规避招标、泄露保密资料、排斥歧视潜在投标人或参与围标串标、弄虚作假、干扰评标、违约毁约等行为，自觉维护公共资源交易工作的良好秩序。</w:t>
      </w:r>
    </w:p>
    <w:p>
      <w:pPr>
        <w:widowControl/>
        <w:spacing w:line="540" w:lineRule="exact"/>
        <w:rPr>
          <w:sz w:val="24"/>
        </w:rPr>
      </w:pPr>
      <w:r>
        <w:rPr>
          <w:sz w:val="24"/>
        </w:rPr>
        <w:t> </w:t>
      </w:r>
      <w:r>
        <w:rPr>
          <w:rFonts w:hint="eastAsia"/>
          <w:sz w:val="24"/>
        </w:rPr>
        <w:t>（五）自觉接受行政监管部门、行业组织、社会公众、新闻舆论的监督。</w:t>
      </w:r>
    </w:p>
    <w:p>
      <w:pPr>
        <w:widowControl/>
        <w:spacing w:line="540" w:lineRule="exact"/>
        <w:rPr>
          <w:sz w:val="24"/>
        </w:rPr>
      </w:pPr>
      <w:r>
        <w:rPr>
          <w:sz w:val="24"/>
        </w:rPr>
        <w:t> </w:t>
      </w:r>
      <w:r>
        <w:rPr>
          <w:rFonts w:hint="eastAsia"/>
          <w:sz w:val="24"/>
        </w:rPr>
        <w:t>（六）自愿接受公共资源交易监督管理机构和有关行政监督部门的依法检查。如发生违法违规或不良行为，自愿接受公共资源交易监督管理机构和有关行政监督部门依法给予的行政处罚（处理），并依法承担相应责任。</w:t>
      </w:r>
    </w:p>
    <w:p>
      <w:pPr>
        <w:widowControl/>
        <w:spacing w:line="540" w:lineRule="exact"/>
        <w:rPr>
          <w:sz w:val="24"/>
        </w:rPr>
      </w:pPr>
      <w:r>
        <w:rPr>
          <w:sz w:val="24"/>
        </w:rPr>
        <w:t> </w:t>
      </w:r>
      <w:r>
        <w:rPr>
          <w:rFonts w:hint="eastAsia"/>
          <w:sz w:val="24"/>
        </w:rPr>
        <w:t>特此承诺，敬请社会各界予以监督。</w:t>
      </w:r>
    </w:p>
    <w:p>
      <w:pPr>
        <w:widowControl/>
        <w:spacing w:line="540" w:lineRule="exact"/>
        <w:rPr>
          <w:sz w:val="24"/>
        </w:rPr>
      </w:pPr>
    </w:p>
    <w:p>
      <w:pPr>
        <w:widowControl/>
        <w:spacing w:line="540" w:lineRule="exact"/>
        <w:ind w:firstLine="4320" w:firstLineChars="1800"/>
        <w:rPr>
          <w:sz w:val="24"/>
        </w:rPr>
      </w:pPr>
      <w:r>
        <w:rPr>
          <w:rFonts w:hint="eastAsia"/>
          <w:sz w:val="24"/>
        </w:rPr>
        <w:t>承诺单位：（盖章）</w:t>
      </w:r>
    </w:p>
    <w:p>
      <w:pPr>
        <w:widowControl/>
        <w:spacing w:line="540" w:lineRule="exact"/>
        <w:ind w:firstLine="4320" w:firstLineChars="1800"/>
        <w:rPr>
          <w:sz w:val="24"/>
        </w:rPr>
      </w:pPr>
    </w:p>
    <w:p>
      <w:pPr>
        <w:rPr>
          <w:sz w:val="24"/>
        </w:rPr>
      </w:pPr>
      <w:r>
        <w:rPr>
          <w:rFonts w:hint="eastAsia"/>
          <w:sz w:val="24"/>
        </w:rPr>
        <w:t xml:space="preserve">                                             年  月  日</w:t>
      </w:r>
    </w:p>
    <w:p>
      <w:pPr>
        <w:rPr>
          <w:sz w:val="24"/>
        </w:rPr>
      </w:pPr>
      <w:r>
        <w:rPr>
          <w:sz w:val="24"/>
        </w:rPr>
        <w:br w:type="page"/>
      </w:r>
    </w:p>
    <w:p>
      <w:pPr>
        <w:jc w:val="center"/>
      </w:pPr>
      <w:r>
        <w:rPr>
          <w:sz w:val="21"/>
        </w:rPr>
        <w:t>目录</w:t>
      </w:r>
    </w:p>
    <w:p>
      <w:pPr>
        <w:pStyle w:val="22"/>
        <w:tabs>
          <w:tab w:val="right" w:leader="dot" w:pos="9240"/>
        </w:tabs>
      </w:pPr>
      <w:r>
        <w:fldChar w:fldCharType="begin"/>
      </w:r>
      <w:r>
        <w:instrText xml:space="preserve">HYPERLINK  \l "_Toc21996_WPSOffice_Level1" </w:instrText>
      </w:r>
      <w:r>
        <w:fldChar w:fldCharType="separate"/>
      </w:r>
      <w:r>
        <w:rPr>
          <w:rFonts w:ascii="宋体" w:hAnsi="宋体" w:cs="宋体"/>
          <w:b/>
          <w:bCs/>
        </w:rPr>
        <w:t>第一章 招标公告</w:t>
      </w:r>
      <w:r>
        <w:rPr>
          <w:b/>
          <w:bCs/>
        </w:rPr>
        <w:tab/>
      </w:r>
      <w:r>
        <w:rPr>
          <w:b/>
          <w:bCs/>
        </w:rPr>
        <w:t>1</w:t>
      </w:r>
      <w:r>
        <w:fldChar w:fldCharType="end"/>
      </w:r>
    </w:p>
    <w:p>
      <w:pPr>
        <w:pStyle w:val="22"/>
        <w:tabs>
          <w:tab w:val="right" w:leader="dot" w:pos="9240"/>
        </w:tabs>
      </w:pPr>
      <w:r>
        <w:fldChar w:fldCharType="begin"/>
      </w:r>
      <w:r>
        <w:instrText xml:space="preserve">HYPERLINK  \l "_Toc30819_WPSOffice_Level1" </w:instrText>
      </w:r>
      <w:r>
        <w:fldChar w:fldCharType="separate"/>
      </w:r>
      <w:r>
        <w:rPr>
          <w:rFonts w:hint="eastAsia" w:ascii="宋体" w:hAnsi="宋体" w:cs="宋体"/>
          <w:b/>
          <w:bCs/>
        </w:rPr>
        <w:t xml:space="preserve">第二章 </w:t>
      </w:r>
      <w:r>
        <w:rPr>
          <w:rFonts w:ascii="宋体" w:hAnsi="宋体" w:cs="宋体"/>
          <w:b/>
          <w:bCs/>
        </w:rPr>
        <w:t>投标人须知</w:t>
      </w:r>
      <w:r>
        <w:rPr>
          <w:b/>
          <w:bCs/>
        </w:rPr>
        <w:tab/>
      </w:r>
      <w:r>
        <w:rPr>
          <w:b/>
          <w:bCs/>
        </w:rPr>
        <w:t>4</w:t>
      </w:r>
      <w:r>
        <w:fldChar w:fldCharType="end"/>
      </w:r>
    </w:p>
    <w:p>
      <w:pPr>
        <w:pStyle w:val="23"/>
        <w:tabs>
          <w:tab w:val="right" w:leader="dot" w:pos="9240"/>
        </w:tabs>
        <w:ind w:left="440"/>
      </w:pPr>
      <w:r>
        <w:fldChar w:fldCharType="begin"/>
      </w:r>
      <w:r>
        <w:instrText xml:space="preserve">HYPERLINK  \l "_Toc31203_WPSOffice_Level2" </w:instrText>
      </w:r>
      <w:r>
        <w:fldChar w:fldCharType="separate"/>
      </w:r>
      <w:r>
        <w:rPr>
          <w:rFonts w:hint="eastAsia" w:ascii="宋体" w:hAnsi="宋体" w:cs="宋体"/>
        </w:rPr>
        <w:t>一、前附表</w:t>
      </w:r>
      <w:r>
        <w:tab/>
      </w:r>
      <w:r>
        <w:t>4</w:t>
      </w:r>
      <w:r>
        <w:fldChar w:fldCharType="end"/>
      </w:r>
    </w:p>
    <w:p>
      <w:pPr>
        <w:pStyle w:val="23"/>
        <w:tabs>
          <w:tab w:val="right" w:leader="dot" w:pos="9240"/>
        </w:tabs>
        <w:ind w:left="440"/>
      </w:pPr>
      <w:r>
        <w:fldChar w:fldCharType="begin"/>
      </w:r>
      <w:r>
        <w:instrText xml:space="preserve">HYPERLINK  \l "_Toc2347_WPSOffice_Level2" </w:instrText>
      </w:r>
      <w:r>
        <w:fldChar w:fldCharType="separate"/>
      </w:r>
      <w:r>
        <w:rPr>
          <w:rFonts w:ascii="宋体" w:hAnsi="宋体" w:cs="宋体"/>
        </w:rPr>
        <w:t>二、说明</w:t>
      </w:r>
      <w:r>
        <w:tab/>
      </w:r>
      <w:r>
        <w:t>9</w:t>
      </w:r>
      <w:r>
        <w:fldChar w:fldCharType="end"/>
      </w:r>
    </w:p>
    <w:p>
      <w:pPr>
        <w:pStyle w:val="23"/>
        <w:tabs>
          <w:tab w:val="right" w:leader="dot" w:pos="9240"/>
        </w:tabs>
        <w:ind w:left="440"/>
      </w:pPr>
      <w:r>
        <w:fldChar w:fldCharType="begin"/>
      </w:r>
      <w:r>
        <w:instrText xml:space="preserve">HYPERLINK  \l "_Toc8965_WPSOffice_Level2" </w:instrText>
      </w:r>
      <w:r>
        <w:fldChar w:fldCharType="separate"/>
      </w:r>
      <w:r>
        <w:rPr>
          <w:rFonts w:ascii="宋体" w:hAnsi="宋体" w:cs="宋体"/>
        </w:rPr>
        <w:t>三、招标文件</w:t>
      </w:r>
      <w:r>
        <w:tab/>
      </w:r>
      <w:r>
        <w:t>9</w:t>
      </w:r>
      <w:r>
        <w:fldChar w:fldCharType="end"/>
      </w:r>
    </w:p>
    <w:p>
      <w:pPr>
        <w:pStyle w:val="23"/>
        <w:tabs>
          <w:tab w:val="right" w:leader="dot" w:pos="9240"/>
        </w:tabs>
        <w:ind w:left="440"/>
      </w:pPr>
      <w:r>
        <w:fldChar w:fldCharType="begin"/>
      </w:r>
      <w:r>
        <w:instrText xml:space="preserve">HYPERLINK  \l "_Toc22678_WPSOffice_Level2" </w:instrText>
      </w:r>
      <w:r>
        <w:fldChar w:fldCharType="separate"/>
      </w:r>
      <w:r>
        <w:rPr>
          <w:rFonts w:ascii="宋体" w:hAnsi="宋体" w:cs="宋体"/>
        </w:rPr>
        <w:t>四、投标文件编写</w:t>
      </w:r>
      <w:r>
        <w:tab/>
      </w:r>
      <w:r>
        <w:t>9</w:t>
      </w:r>
      <w:r>
        <w:fldChar w:fldCharType="end"/>
      </w:r>
    </w:p>
    <w:p>
      <w:pPr>
        <w:pStyle w:val="23"/>
        <w:tabs>
          <w:tab w:val="right" w:leader="dot" w:pos="9240"/>
        </w:tabs>
        <w:ind w:left="440"/>
      </w:pPr>
      <w:r>
        <w:fldChar w:fldCharType="begin"/>
      </w:r>
      <w:r>
        <w:instrText xml:space="preserve">HYPERLINK  \l "_Toc24570_WPSOffice_Level2" </w:instrText>
      </w:r>
      <w:r>
        <w:fldChar w:fldCharType="separate"/>
      </w:r>
      <w:r>
        <w:rPr>
          <w:rFonts w:hint="eastAsia" w:ascii="宋体" w:hAnsi="宋体" w:cs="宋体"/>
        </w:rPr>
        <w:t>五、投标文件的递交</w:t>
      </w:r>
      <w:bookmarkStart w:id="80" w:name="_GoBack"/>
      <w:bookmarkEnd w:id="80"/>
      <w:r>
        <w:tab/>
      </w:r>
      <w:r>
        <w:t>12</w:t>
      </w:r>
      <w:r>
        <w:fldChar w:fldCharType="end"/>
      </w:r>
    </w:p>
    <w:p>
      <w:pPr>
        <w:pStyle w:val="23"/>
        <w:tabs>
          <w:tab w:val="right" w:leader="dot" w:pos="9240"/>
        </w:tabs>
        <w:ind w:left="440"/>
      </w:pPr>
      <w:r>
        <w:fldChar w:fldCharType="begin"/>
      </w:r>
      <w:r>
        <w:instrText xml:space="preserve">HYPERLINK  \l "_Toc32055_WPSOffice_Level2" </w:instrText>
      </w:r>
      <w:r>
        <w:fldChar w:fldCharType="separate"/>
      </w:r>
      <w:r>
        <w:rPr>
          <w:rFonts w:hint="eastAsia" w:ascii="宋体" w:hAnsi="宋体" w:cs="宋体"/>
        </w:rPr>
        <w:t>六、评审</w:t>
      </w:r>
      <w:r>
        <w:tab/>
      </w:r>
      <w:r>
        <w:t>1</w:t>
      </w:r>
      <w:r>
        <w:rPr>
          <w:rFonts w:hint="eastAsia"/>
        </w:rPr>
        <w:t>3</w:t>
      </w:r>
      <w:r>
        <w:fldChar w:fldCharType="end"/>
      </w:r>
    </w:p>
    <w:p>
      <w:pPr>
        <w:pStyle w:val="23"/>
        <w:tabs>
          <w:tab w:val="right" w:leader="dot" w:pos="9240"/>
        </w:tabs>
        <w:ind w:left="440"/>
      </w:pPr>
      <w:r>
        <w:fldChar w:fldCharType="begin"/>
      </w:r>
      <w:r>
        <w:instrText xml:space="preserve">HYPERLINK  \l "_Toc18481_WPSOffice_Level2" </w:instrText>
      </w:r>
      <w:r>
        <w:fldChar w:fldCharType="separate"/>
      </w:r>
      <w:r>
        <w:rPr>
          <w:rFonts w:hint="eastAsia" w:ascii="宋体" w:hAnsi="宋体" w:cs="宋体"/>
        </w:rPr>
        <w:t>七、授予合同</w:t>
      </w:r>
      <w:r>
        <w:tab/>
      </w:r>
      <w:r>
        <w:t>16</w:t>
      </w:r>
      <w:r>
        <w:fldChar w:fldCharType="end"/>
      </w:r>
    </w:p>
    <w:p>
      <w:pPr>
        <w:pStyle w:val="23"/>
        <w:tabs>
          <w:tab w:val="right" w:leader="dot" w:pos="9240"/>
        </w:tabs>
        <w:ind w:left="440"/>
      </w:pPr>
      <w:r>
        <w:fldChar w:fldCharType="begin"/>
      </w:r>
      <w:r>
        <w:instrText xml:space="preserve">HYPERLINK  \l "_Toc2146_WPSOffice_Level2" </w:instrText>
      </w:r>
      <w:r>
        <w:fldChar w:fldCharType="separate"/>
      </w:r>
      <w:r>
        <w:rPr>
          <w:rFonts w:hint="eastAsia" w:ascii="宋体" w:hAnsi="宋体" w:cs="宋体"/>
        </w:rPr>
        <w:t>八、解释权</w:t>
      </w:r>
      <w:r>
        <w:tab/>
      </w:r>
      <w:r>
        <w:t>1</w:t>
      </w:r>
      <w:r>
        <w:rPr>
          <w:rFonts w:hint="eastAsia"/>
        </w:rPr>
        <w:t>7</w:t>
      </w:r>
      <w:r>
        <w:fldChar w:fldCharType="end"/>
      </w:r>
    </w:p>
    <w:p>
      <w:pPr>
        <w:pStyle w:val="22"/>
        <w:tabs>
          <w:tab w:val="right" w:leader="dot" w:pos="9240"/>
        </w:tabs>
      </w:pPr>
      <w:r>
        <w:fldChar w:fldCharType="begin"/>
      </w:r>
      <w:r>
        <w:instrText xml:space="preserve">HYPERLINK  \l "_Toc27937_WPSOffice_Level1" </w:instrText>
      </w:r>
      <w:r>
        <w:fldChar w:fldCharType="separate"/>
      </w:r>
      <w:r>
        <w:rPr>
          <w:rFonts w:ascii="宋体" w:hAnsi="宋体" w:cs="宋体"/>
          <w:b/>
          <w:bCs/>
        </w:rPr>
        <w:t>第三章 项目说明</w:t>
      </w:r>
      <w:r>
        <w:rPr>
          <w:b/>
          <w:bCs/>
        </w:rPr>
        <w:tab/>
      </w:r>
      <w:r>
        <w:rPr>
          <w:b/>
          <w:bCs/>
        </w:rPr>
        <w:t>18</w:t>
      </w:r>
      <w:r>
        <w:fldChar w:fldCharType="end"/>
      </w:r>
    </w:p>
    <w:p>
      <w:pPr>
        <w:pStyle w:val="23"/>
        <w:tabs>
          <w:tab w:val="right" w:leader="dot" w:pos="9240"/>
        </w:tabs>
        <w:ind w:left="440"/>
      </w:pPr>
      <w:r>
        <w:fldChar w:fldCharType="begin"/>
      </w:r>
      <w:r>
        <w:instrText xml:space="preserve">HYPERLINK  \l "_Toc2275_WPSOffice_Level2" </w:instrText>
      </w:r>
      <w:r>
        <w:fldChar w:fldCharType="separate"/>
      </w:r>
      <w:r>
        <w:rPr>
          <w:rFonts w:ascii="宋体" w:hAnsi="宋体" w:cs="宋体"/>
        </w:rPr>
        <w:t>一、项目情况</w:t>
      </w:r>
      <w:r>
        <w:tab/>
      </w:r>
      <w:r>
        <w:t>18</w:t>
      </w:r>
      <w:r>
        <w:fldChar w:fldCharType="end"/>
      </w:r>
    </w:p>
    <w:p>
      <w:pPr>
        <w:pStyle w:val="23"/>
        <w:tabs>
          <w:tab w:val="right" w:leader="dot" w:pos="9240"/>
        </w:tabs>
        <w:ind w:left="440"/>
      </w:pPr>
      <w:r>
        <w:fldChar w:fldCharType="begin"/>
      </w:r>
      <w:r>
        <w:instrText xml:space="preserve">HYPERLINK  \l "_Toc5843_WPSOffice_Level2" </w:instrText>
      </w:r>
      <w:r>
        <w:fldChar w:fldCharType="separate"/>
      </w:r>
      <w:r>
        <w:rPr>
          <w:rFonts w:hint="eastAsia" w:ascii="宋体" w:hAnsi="宋体" w:cs="宋体"/>
        </w:rPr>
        <w:t>二、技术要求</w:t>
      </w:r>
      <w:r>
        <w:tab/>
      </w:r>
      <w:r>
        <w:t>18</w:t>
      </w:r>
      <w:r>
        <w:fldChar w:fldCharType="end"/>
      </w:r>
    </w:p>
    <w:p>
      <w:pPr>
        <w:pStyle w:val="23"/>
        <w:tabs>
          <w:tab w:val="right" w:leader="dot" w:pos="9240"/>
        </w:tabs>
        <w:ind w:left="440"/>
      </w:pPr>
      <w:r>
        <w:fldChar w:fldCharType="begin"/>
      </w:r>
      <w:r>
        <w:instrText xml:space="preserve">HYPERLINK  \l "_Toc1694_WPSOffice_Level2" </w:instrText>
      </w:r>
      <w:r>
        <w:fldChar w:fldCharType="separate"/>
      </w:r>
      <w:r>
        <w:rPr>
          <w:rFonts w:hint="eastAsia" w:ascii="宋体" w:hAnsi="宋体" w:cs="宋体"/>
        </w:rPr>
        <w:t>三、</w:t>
      </w:r>
      <w:r>
        <w:rPr>
          <w:rFonts w:ascii="宋体" w:hAnsi="宋体" w:cs="宋体"/>
        </w:rPr>
        <w:t>管理服务费用及财务管理要求</w:t>
      </w:r>
      <w:r>
        <w:tab/>
      </w:r>
      <w:r>
        <w:t>18</w:t>
      </w:r>
      <w:r>
        <w:fldChar w:fldCharType="end"/>
      </w:r>
    </w:p>
    <w:p>
      <w:pPr>
        <w:pStyle w:val="23"/>
        <w:tabs>
          <w:tab w:val="right" w:leader="dot" w:pos="9240"/>
        </w:tabs>
        <w:ind w:left="440"/>
      </w:pPr>
      <w:r>
        <w:fldChar w:fldCharType="begin"/>
      </w:r>
      <w:r>
        <w:instrText xml:space="preserve">HYPERLINK  \l "_Toc21143_WPSOffice_Level2" </w:instrText>
      </w:r>
      <w:r>
        <w:fldChar w:fldCharType="separate"/>
      </w:r>
      <w:r>
        <w:rPr>
          <w:rFonts w:hint="eastAsia" w:ascii="宋体" w:hAnsi="宋体" w:cs="宋体"/>
        </w:rPr>
        <w:t>四、其他要求</w:t>
      </w:r>
      <w:r>
        <w:tab/>
      </w:r>
      <w:r>
        <w:t>18</w:t>
      </w:r>
      <w:r>
        <w:fldChar w:fldCharType="end"/>
      </w:r>
    </w:p>
    <w:p>
      <w:pPr>
        <w:pStyle w:val="23"/>
        <w:tabs>
          <w:tab w:val="right" w:leader="dot" w:pos="9240"/>
        </w:tabs>
        <w:ind w:left="440"/>
      </w:pPr>
      <w:r>
        <w:fldChar w:fldCharType="begin"/>
      </w:r>
      <w:r>
        <w:instrText xml:space="preserve">HYPERLINK  \l "_Toc9228_WPSOffice_Level2" </w:instrText>
      </w:r>
      <w:r>
        <w:fldChar w:fldCharType="separate"/>
      </w:r>
      <w:r>
        <w:rPr>
          <w:rFonts w:hint="eastAsia" w:ascii="宋体" w:hAnsi="宋体" w:cs="宋体"/>
        </w:rPr>
        <w:t>五、服务期限</w:t>
      </w:r>
      <w:r>
        <w:tab/>
      </w:r>
      <w:r>
        <w:t>18</w:t>
      </w:r>
      <w:r>
        <w:fldChar w:fldCharType="end"/>
      </w:r>
    </w:p>
    <w:p>
      <w:pPr>
        <w:pStyle w:val="23"/>
        <w:tabs>
          <w:tab w:val="right" w:leader="dot" w:pos="9240"/>
        </w:tabs>
        <w:ind w:left="440"/>
      </w:pPr>
      <w:r>
        <w:fldChar w:fldCharType="begin"/>
      </w:r>
      <w:r>
        <w:instrText xml:space="preserve">HYPERLINK  \l "_Toc14657_WPSOffice_Level2" </w:instrText>
      </w:r>
      <w:r>
        <w:fldChar w:fldCharType="separate"/>
      </w:r>
      <w:r>
        <w:rPr>
          <w:rFonts w:hint="eastAsia" w:ascii="宋体" w:hAnsi="宋体" w:cs="宋体"/>
        </w:rPr>
        <w:t>六、检查与考核</w:t>
      </w:r>
      <w:r>
        <w:tab/>
      </w:r>
      <w:r>
        <w:t>1</w:t>
      </w:r>
      <w:r>
        <w:rPr>
          <w:rFonts w:hint="eastAsia"/>
        </w:rPr>
        <w:t>8</w:t>
      </w:r>
      <w:r>
        <w:fldChar w:fldCharType="end"/>
      </w:r>
    </w:p>
    <w:p>
      <w:pPr>
        <w:pStyle w:val="22"/>
        <w:tabs>
          <w:tab w:val="right" w:leader="dot" w:pos="9240"/>
        </w:tabs>
      </w:pPr>
      <w:r>
        <w:fldChar w:fldCharType="begin"/>
      </w:r>
      <w:r>
        <w:instrText xml:space="preserve">HYPERLINK  \l "_Toc5095_WPSOffice_Level1" </w:instrText>
      </w:r>
      <w:r>
        <w:fldChar w:fldCharType="separate"/>
      </w:r>
      <w:r>
        <w:rPr>
          <w:rFonts w:hint="eastAsia" w:ascii="宋体" w:hAnsi="宋体" w:cs="宋体"/>
          <w:b/>
          <w:bCs/>
        </w:rPr>
        <w:t>第四章 合同格式</w:t>
      </w:r>
      <w:r>
        <w:rPr>
          <w:b/>
          <w:bCs/>
        </w:rPr>
        <w:tab/>
      </w:r>
      <w:r>
        <w:rPr>
          <w:rFonts w:hint="eastAsia"/>
          <w:b/>
          <w:bCs/>
        </w:rPr>
        <w:t>19</w:t>
      </w:r>
      <w:r>
        <w:fldChar w:fldCharType="end"/>
      </w:r>
    </w:p>
    <w:p>
      <w:pPr>
        <w:pStyle w:val="22"/>
        <w:tabs>
          <w:tab w:val="right" w:leader="dot" w:pos="9240"/>
        </w:tabs>
      </w:pPr>
      <w:r>
        <w:fldChar w:fldCharType="begin"/>
      </w:r>
      <w:r>
        <w:instrText xml:space="preserve">HYPERLINK  \l "_Toc32327_WPSOffice_Level1" </w:instrText>
      </w:r>
      <w:r>
        <w:fldChar w:fldCharType="separate"/>
      </w:r>
      <w:r>
        <w:rPr>
          <w:rFonts w:hint="eastAsia" w:ascii="宋体" w:hAnsi="宋体" w:cs="宋体"/>
          <w:b/>
          <w:bCs/>
        </w:rPr>
        <w:t xml:space="preserve">第五章 </w:t>
      </w:r>
      <w:r>
        <w:rPr>
          <w:rFonts w:ascii="宋体" w:hAnsi="宋体" w:cs="宋体"/>
          <w:b/>
          <w:bCs/>
        </w:rPr>
        <w:t>投标文件格式</w:t>
      </w:r>
      <w:r>
        <w:rPr>
          <w:b/>
          <w:bCs/>
        </w:rPr>
        <w:tab/>
      </w:r>
      <w:r>
        <w:rPr>
          <w:b/>
          <w:bCs/>
        </w:rPr>
        <w:t>2</w:t>
      </w:r>
      <w:r>
        <w:rPr>
          <w:rFonts w:hint="eastAsia"/>
          <w:b/>
          <w:bCs/>
        </w:rPr>
        <w:t>3</w:t>
      </w:r>
      <w:r>
        <w:fldChar w:fldCharType="end"/>
      </w:r>
    </w:p>
    <w:p>
      <w:pPr>
        <w:pStyle w:val="22"/>
        <w:tabs>
          <w:tab w:val="right" w:leader="dot" w:pos="9240"/>
        </w:tabs>
      </w:pPr>
      <w:r>
        <w:fldChar w:fldCharType="begin"/>
      </w:r>
      <w:r>
        <w:instrText xml:space="preserve">HYPERLINK  \l "_Toc6659_WPSOffice_Level1" </w:instrText>
      </w:r>
      <w:r>
        <w:fldChar w:fldCharType="separate"/>
      </w:r>
      <w:r>
        <w:rPr>
          <w:rFonts w:ascii="宋体" w:hAnsi="宋体" w:cs="宋体"/>
          <w:b/>
          <w:bCs/>
        </w:rPr>
        <w:t>附件一：报 价 函</w:t>
      </w:r>
      <w:r>
        <w:rPr>
          <w:b/>
          <w:bCs/>
        </w:rPr>
        <w:tab/>
      </w:r>
      <w:r>
        <w:rPr>
          <w:b/>
          <w:bCs/>
        </w:rPr>
        <w:t>2</w:t>
      </w:r>
      <w:r>
        <w:rPr>
          <w:rFonts w:hint="eastAsia"/>
          <w:b/>
          <w:bCs/>
        </w:rPr>
        <w:t>3</w:t>
      </w:r>
      <w:r>
        <w:fldChar w:fldCharType="end"/>
      </w:r>
    </w:p>
    <w:p>
      <w:pPr>
        <w:pStyle w:val="22"/>
        <w:tabs>
          <w:tab w:val="right" w:leader="dot" w:pos="9240"/>
        </w:tabs>
      </w:pPr>
      <w:r>
        <w:fldChar w:fldCharType="begin"/>
      </w:r>
      <w:r>
        <w:instrText xml:space="preserve">HYPERLINK  \l "_Toc4454_WPSOffice_Level1" </w:instrText>
      </w:r>
      <w:r>
        <w:fldChar w:fldCharType="separate"/>
      </w:r>
      <w:r>
        <w:rPr>
          <w:rFonts w:ascii="宋体" w:hAnsi="宋体" w:cs="宋体"/>
          <w:b/>
          <w:bCs/>
        </w:rPr>
        <w:t>附件二：法定代表人授权委托书</w:t>
      </w:r>
      <w:r>
        <w:rPr>
          <w:b/>
          <w:bCs/>
        </w:rPr>
        <w:tab/>
      </w:r>
      <w:r>
        <w:rPr>
          <w:b/>
          <w:bCs/>
        </w:rPr>
        <w:t>2</w:t>
      </w:r>
      <w:r>
        <w:rPr>
          <w:rFonts w:hint="eastAsia"/>
          <w:b/>
          <w:bCs/>
        </w:rPr>
        <w:t>4</w:t>
      </w:r>
      <w:r>
        <w:fldChar w:fldCharType="end"/>
      </w:r>
    </w:p>
    <w:p>
      <w:pPr>
        <w:pStyle w:val="22"/>
        <w:tabs>
          <w:tab w:val="right" w:leader="dot" w:pos="9240"/>
        </w:tabs>
      </w:pPr>
      <w:r>
        <w:fldChar w:fldCharType="begin"/>
      </w:r>
      <w:r>
        <w:instrText xml:space="preserve">HYPERLINK  \l "_Toc31203_WPSOffice_Level1" </w:instrText>
      </w:r>
      <w:r>
        <w:fldChar w:fldCharType="separate"/>
      </w:r>
      <w:r>
        <w:rPr>
          <w:rFonts w:hint="eastAsia" w:ascii="宋体" w:hAnsi="宋体" w:cs="宋体"/>
          <w:b/>
          <w:bCs/>
          <w:lang w:val="zh-CN"/>
        </w:rPr>
        <w:t>附件三</w:t>
      </w:r>
      <w:r>
        <w:rPr>
          <w:rFonts w:hint="eastAsia" w:ascii="宋体" w:hAnsi="宋体" w:cs="宋体"/>
          <w:b/>
          <w:bCs/>
        </w:rPr>
        <w:t>：报价一览表</w:t>
      </w:r>
      <w:r>
        <w:rPr>
          <w:b/>
          <w:bCs/>
        </w:rPr>
        <w:tab/>
      </w:r>
      <w:r>
        <w:rPr>
          <w:b/>
          <w:bCs/>
        </w:rPr>
        <w:t>2</w:t>
      </w:r>
      <w:r>
        <w:rPr>
          <w:rFonts w:hint="eastAsia"/>
          <w:b/>
          <w:bCs/>
        </w:rPr>
        <w:t>5</w:t>
      </w:r>
      <w:r>
        <w:fldChar w:fldCharType="end"/>
      </w:r>
    </w:p>
    <w:p>
      <w:pPr>
        <w:pStyle w:val="22"/>
        <w:tabs>
          <w:tab w:val="right" w:leader="dot" w:pos="9240"/>
        </w:tabs>
      </w:pPr>
      <w:r>
        <w:fldChar w:fldCharType="begin"/>
      </w:r>
      <w:r>
        <w:instrText xml:space="preserve">HYPERLINK  \l "_Toc2347_WPSOffice_Level1" </w:instrText>
      </w:r>
      <w:r>
        <w:fldChar w:fldCharType="separate"/>
      </w:r>
      <w:r>
        <w:rPr>
          <w:rFonts w:ascii="宋体" w:hAnsi="宋体" w:cs="宋体"/>
          <w:b/>
          <w:bCs/>
        </w:rPr>
        <w:t>附件四：投标人企业概况表</w:t>
      </w:r>
      <w:r>
        <w:rPr>
          <w:b/>
          <w:bCs/>
        </w:rPr>
        <w:tab/>
      </w:r>
      <w:r>
        <w:rPr>
          <w:b/>
          <w:bCs/>
        </w:rPr>
        <w:t>2</w:t>
      </w:r>
      <w:r>
        <w:rPr>
          <w:rFonts w:hint="eastAsia"/>
          <w:b/>
          <w:bCs/>
        </w:rPr>
        <w:t>6</w:t>
      </w:r>
      <w:r>
        <w:fldChar w:fldCharType="end"/>
      </w:r>
    </w:p>
    <w:p>
      <w:pPr>
        <w:pStyle w:val="22"/>
        <w:tabs>
          <w:tab w:val="right" w:leader="dot" w:pos="9240"/>
        </w:tabs>
      </w:pPr>
      <w:r>
        <w:fldChar w:fldCharType="begin"/>
      </w:r>
      <w:r>
        <w:instrText xml:space="preserve">HYPERLINK  \l "_Toc8965_WPSOffice_Level1" </w:instrText>
      </w:r>
      <w:r>
        <w:fldChar w:fldCharType="separate"/>
      </w:r>
      <w:r>
        <w:rPr>
          <w:rFonts w:ascii="宋体" w:hAnsi="宋体" w:cs="宋体"/>
          <w:b/>
          <w:bCs/>
        </w:rPr>
        <w:t>附件五：拟投入项目人员一览表</w:t>
      </w:r>
      <w:r>
        <w:rPr>
          <w:b/>
          <w:bCs/>
        </w:rPr>
        <w:tab/>
      </w:r>
      <w:r>
        <w:rPr>
          <w:b/>
          <w:bCs/>
        </w:rPr>
        <w:t>2</w:t>
      </w:r>
      <w:r>
        <w:rPr>
          <w:rFonts w:hint="eastAsia"/>
          <w:b/>
          <w:bCs/>
        </w:rPr>
        <w:t>7</w:t>
      </w:r>
      <w:r>
        <w:fldChar w:fldCharType="end"/>
      </w:r>
    </w:p>
    <w:p>
      <w:pPr>
        <w:pStyle w:val="22"/>
        <w:tabs>
          <w:tab w:val="right" w:leader="dot" w:pos="9240"/>
        </w:tabs>
      </w:pPr>
      <w:r>
        <w:fldChar w:fldCharType="begin"/>
      </w:r>
      <w:r>
        <w:instrText xml:space="preserve">HYPERLINK  \l "_Toc22678_WPSOffice_Level1" </w:instrText>
      </w:r>
      <w:r>
        <w:fldChar w:fldCharType="separate"/>
      </w:r>
      <w:r>
        <w:rPr>
          <w:rFonts w:ascii="宋体" w:hAnsi="宋体" w:cs="宋体"/>
          <w:b/>
          <w:bCs/>
        </w:rPr>
        <w:t>附件六：近三年从事项目情况一览表</w:t>
      </w:r>
      <w:r>
        <w:rPr>
          <w:b/>
          <w:bCs/>
        </w:rPr>
        <w:tab/>
      </w:r>
      <w:r>
        <w:rPr>
          <w:b/>
          <w:bCs/>
        </w:rPr>
        <w:t>2</w:t>
      </w:r>
      <w:r>
        <w:rPr>
          <w:rFonts w:hint="eastAsia"/>
          <w:b/>
          <w:bCs/>
        </w:rPr>
        <w:t>8</w:t>
      </w:r>
      <w:r>
        <w:fldChar w:fldCharType="end"/>
      </w:r>
    </w:p>
    <w:p>
      <w:pPr>
        <w:pStyle w:val="22"/>
        <w:tabs>
          <w:tab w:val="right" w:leader="dot" w:pos="9240"/>
        </w:tabs>
      </w:pPr>
      <w:r>
        <w:fldChar w:fldCharType="begin"/>
      </w:r>
      <w:r>
        <w:instrText xml:space="preserve">HYPERLINK  \l "_Toc24570_WPSOffice_Level1" </w:instrText>
      </w:r>
      <w:r>
        <w:fldChar w:fldCharType="separate"/>
      </w:r>
      <w:r>
        <w:rPr>
          <w:rFonts w:ascii="宋体" w:hAnsi="宋体" w:cs="宋体"/>
          <w:b/>
          <w:bCs/>
        </w:rPr>
        <w:t>附件七：技术文件</w:t>
      </w:r>
      <w:r>
        <w:rPr>
          <w:b/>
          <w:bCs/>
        </w:rPr>
        <w:tab/>
      </w:r>
      <w:r>
        <w:rPr>
          <w:b/>
          <w:bCs/>
        </w:rPr>
        <w:t>2</w:t>
      </w:r>
      <w:r>
        <w:rPr>
          <w:rFonts w:hint="eastAsia"/>
          <w:b/>
          <w:bCs/>
        </w:rPr>
        <w:t>9</w:t>
      </w:r>
      <w:r>
        <w:fldChar w:fldCharType="end"/>
      </w:r>
    </w:p>
    <w:p>
      <w:pPr>
        <w:pStyle w:val="22"/>
        <w:tabs>
          <w:tab w:val="right" w:leader="dot" w:pos="9240"/>
        </w:tabs>
      </w:pPr>
      <w:r>
        <w:fldChar w:fldCharType="begin"/>
      </w:r>
      <w:r>
        <w:instrText xml:space="preserve">HYPERLINK  \l "_Toc32055_WPSOffice_Level1" </w:instrText>
      </w:r>
      <w:r>
        <w:fldChar w:fldCharType="separate"/>
      </w:r>
      <w:r>
        <w:rPr>
          <w:rFonts w:ascii="宋体" w:hAnsi="宋体" w:cs="宋体"/>
          <w:b/>
          <w:bCs/>
        </w:rPr>
        <w:t>附件八：评标评分办法</w:t>
      </w:r>
      <w:r>
        <w:rPr>
          <w:b/>
          <w:bCs/>
        </w:rPr>
        <w:tab/>
      </w:r>
      <w:r>
        <w:rPr>
          <w:b/>
          <w:bCs/>
        </w:rPr>
        <w:t>3</w:t>
      </w:r>
      <w:r>
        <w:rPr>
          <w:rFonts w:hint="eastAsia"/>
          <w:b/>
          <w:bCs/>
        </w:rPr>
        <w:t>7</w:t>
      </w:r>
      <w:r>
        <w:fldChar w:fldCharType="end"/>
      </w:r>
    </w:p>
    <w:p>
      <w:pPr>
        <w:pStyle w:val="22"/>
        <w:tabs>
          <w:tab w:val="right" w:leader="dot" w:pos="9240"/>
        </w:tabs>
      </w:pPr>
      <w:r>
        <w:fldChar w:fldCharType="begin"/>
      </w:r>
      <w:r>
        <w:instrText xml:space="preserve">HYPERLINK  \l "_Toc18481_WPSOffice_Level1" </w:instrText>
      </w:r>
      <w:r>
        <w:fldChar w:fldCharType="separate"/>
      </w:r>
      <w:r>
        <w:rPr>
          <w:rFonts w:ascii="宋体" w:hAnsi="宋体" w:cs="宋体"/>
          <w:b/>
          <w:bCs/>
        </w:rPr>
        <w:t>附件九：中小企业声明函及证明</w:t>
      </w:r>
      <w:r>
        <w:rPr>
          <w:b/>
          <w:bCs/>
        </w:rPr>
        <w:tab/>
      </w:r>
      <w:r>
        <w:rPr>
          <w:b/>
          <w:bCs/>
        </w:rPr>
        <w:t>4</w:t>
      </w:r>
      <w:r>
        <w:fldChar w:fldCharType="end"/>
      </w:r>
      <w:r>
        <w:rPr>
          <w:rFonts w:hint="eastAsia"/>
          <w:b/>
          <w:bCs/>
        </w:rPr>
        <w:t>0</w:t>
      </w:r>
    </w:p>
    <w:p>
      <w:pPr>
        <w:pStyle w:val="22"/>
        <w:tabs>
          <w:tab w:val="right" w:leader="dot" w:pos="9240"/>
        </w:tabs>
      </w:pPr>
      <w:r>
        <w:fldChar w:fldCharType="begin"/>
      </w:r>
      <w:r>
        <w:instrText xml:space="preserve">HYPERLINK  \l "_Toc2146_WPSOffice_Level1" </w:instrText>
      </w:r>
      <w:r>
        <w:fldChar w:fldCharType="separate"/>
      </w:r>
      <w:r>
        <w:rPr>
          <w:rFonts w:ascii="宋体" w:hAnsi="宋体" w:cs="宋体"/>
          <w:b/>
          <w:bCs/>
        </w:rPr>
        <w:t>附件十：残疾人福利性单位声明函</w:t>
      </w:r>
      <w:r>
        <w:rPr>
          <w:b/>
          <w:bCs/>
        </w:rPr>
        <w:tab/>
      </w:r>
      <w:r>
        <w:rPr>
          <w:rFonts w:hint="eastAsia"/>
          <w:b/>
          <w:bCs/>
        </w:rPr>
        <w:t>41</w:t>
      </w:r>
      <w:r>
        <w:fldChar w:fldCharType="end"/>
      </w:r>
    </w:p>
    <w:p>
      <w:pPr>
        <w:pStyle w:val="22"/>
        <w:tabs>
          <w:tab w:val="right" w:leader="dot" w:pos="9240"/>
        </w:tabs>
      </w:pPr>
      <w:r>
        <w:fldChar w:fldCharType="begin"/>
      </w:r>
      <w:r>
        <w:instrText xml:space="preserve">HYPERLINK  \l "_Toc2275_WPSOffice_Level1" </w:instrText>
      </w:r>
      <w:r>
        <w:fldChar w:fldCharType="separate"/>
      </w:r>
      <w:r>
        <w:rPr>
          <w:rFonts w:hint="eastAsia" w:ascii="宋体" w:hAnsi="宋体" w:cs="宋体"/>
          <w:b/>
          <w:bCs/>
        </w:rPr>
        <w:t>附件十一：承诺书</w:t>
      </w:r>
      <w:r>
        <w:rPr>
          <w:b/>
          <w:bCs/>
        </w:rPr>
        <w:tab/>
      </w:r>
      <w:r>
        <w:rPr>
          <w:rFonts w:hint="eastAsia"/>
          <w:b/>
          <w:bCs/>
        </w:rPr>
        <w:t>42</w:t>
      </w:r>
      <w:r>
        <w:fldChar w:fldCharType="end"/>
      </w:r>
    </w:p>
    <w:p>
      <w:pPr>
        <w:pStyle w:val="22"/>
        <w:tabs>
          <w:tab w:val="right" w:leader="dot" w:pos="9240"/>
        </w:tabs>
      </w:pPr>
      <w:r>
        <w:fldChar w:fldCharType="begin"/>
      </w:r>
      <w:r>
        <w:instrText xml:space="preserve">HYPERLINK  \l "_Toc5843_WPSOffice_Level1" </w:instrText>
      </w:r>
      <w:r>
        <w:fldChar w:fldCharType="separate"/>
      </w:r>
      <w:r>
        <w:rPr>
          <w:rFonts w:hint="eastAsia" w:ascii="宋体" w:hAnsi="宋体" w:cs="宋体"/>
          <w:b/>
          <w:bCs/>
        </w:rPr>
        <w:t>附件十二： 封面格式</w:t>
      </w:r>
      <w:r>
        <w:rPr>
          <w:b/>
          <w:bCs/>
        </w:rPr>
        <w:tab/>
      </w:r>
      <w:r>
        <w:rPr>
          <w:rFonts w:hint="eastAsia"/>
          <w:b/>
          <w:bCs/>
        </w:rPr>
        <w:t>43</w:t>
      </w:r>
      <w:r>
        <w:fldChar w:fldCharType="end"/>
      </w:r>
    </w:p>
    <w:p>
      <w:pPr>
        <w:pStyle w:val="22"/>
        <w:tabs>
          <w:tab w:val="right" w:leader="dot" w:pos="9240"/>
        </w:tabs>
      </w:pPr>
      <w:r>
        <w:fldChar w:fldCharType="begin"/>
      </w:r>
      <w:r>
        <w:instrText xml:space="preserve">HYPERLINK  \l "_Toc1694_WPSOffice_Level1" </w:instrText>
      </w:r>
      <w:r>
        <w:fldChar w:fldCharType="separate"/>
      </w:r>
      <w:r>
        <w:rPr>
          <w:rFonts w:hint="eastAsia" w:ascii="黑体" w:hAnsi="宋体" w:eastAsia="黑体" w:cs="宋体"/>
          <w:b/>
          <w:bCs/>
        </w:rPr>
        <w:t>封口格式</w:t>
      </w:r>
      <w:r>
        <w:rPr>
          <w:b/>
          <w:bCs/>
        </w:rPr>
        <w:tab/>
      </w:r>
      <w:r>
        <w:rPr>
          <w:rFonts w:hint="eastAsia"/>
          <w:b/>
          <w:bCs/>
        </w:rPr>
        <w:t>4</w:t>
      </w:r>
      <w:r>
        <w:rPr>
          <w:b/>
          <w:bCs/>
        </w:rPr>
        <w:t>3</w:t>
      </w:r>
      <w:r>
        <w:fldChar w:fldCharType="end"/>
      </w:r>
    </w:p>
    <w:p>
      <w:pPr>
        <w:rPr>
          <w:sz w:val="24"/>
        </w:rPr>
      </w:pPr>
    </w:p>
    <w:p>
      <w:pPr>
        <w:rPr>
          <w:sz w:val="24"/>
        </w:rPr>
      </w:pPr>
    </w:p>
    <w:p>
      <w:pPr>
        <w:pStyle w:val="2"/>
        <w:tabs>
          <w:tab w:val="left" w:pos="1283"/>
        </w:tabs>
        <w:spacing w:before="41" w:line="360" w:lineRule="auto"/>
        <w:ind w:right="156"/>
      </w:pPr>
    </w:p>
    <w:p>
      <w:pPr>
        <w:pStyle w:val="2"/>
        <w:tabs>
          <w:tab w:val="left" w:pos="1283"/>
        </w:tabs>
        <w:spacing w:before="41" w:line="360" w:lineRule="auto"/>
        <w:ind w:right="159"/>
        <w:sectPr>
          <w:headerReference r:id="rId11" w:type="first"/>
          <w:footerReference r:id="rId12" w:type="first"/>
          <w:headerReference r:id="rId10" w:type="default"/>
          <w:pgSz w:w="11906" w:h="16838"/>
          <w:pgMar w:top="1440" w:right="1306" w:bottom="1440" w:left="1360" w:header="851" w:footer="992" w:gutter="0"/>
          <w:cols w:space="720" w:num="1"/>
          <w:titlePg/>
          <w:docGrid w:type="lines" w:linePitch="312" w:charSpace="0"/>
        </w:sectPr>
      </w:pPr>
    </w:p>
    <w:p>
      <w:pPr>
        <w:pStyle w:val="2"/>
        <w:tabs>
          <w:tab w:val="left" w:pos="1283"/>
        </w:tabs>
        <w:spacing w:before="41" w:line="360" w:lineRule="auto"/>
        <w:ind w:right="159"/>
      </w:pPr>
      <w:bookmarkStart w:id="0" w:name="_Toc21996_WPSOffice_Level1"/>
      <w:r>
        <w:t>第一章</w:t>
      </w:r>
      <w:r>
        <w:tab/>
      </w:r>
      <w:r>
        <w:t>招标公告</w:t>
      </w:r>
      <w:bookmarkEnd w:id="0"/>
    </w:p>
    <w:p>
      <w:pPr>
        <w:spacing w:before="12" w:line="360" w:lineRule="auto"/>
        <w:jc w:val="center"/>
        <w:rPr>
          <w:b/>
          <w:sz w:val="28"/>
          <w:szCs w:val="28"/>
        </w:rPr>
      </w:pPr>
      <w:bookmarkStart w:id="1" w:name="_Toc30819_WPSOffice_Level2"/>
      <w:bookmarkStart w:id="2" w:name="_Toc18910_WPSOffice_Level2"/>
      <w:bookmarkStart w:id="3" w:name="_Toc3164_WPSOffice_Level2"/>
      <w:bookmarkStart w:id="4" w:name="_Toc13683_WPSOffice_Level2"/>
      <w:r>
        <w:rPr>
          <w:rFonts w:hint="eastAsia"/>
          <w:b/>
          <w:sz w:val="28"/>
          <w:szCs w:val="28"/>
        </w:rPr>
        <w:t>金乡县人民医院检验科及病理科外包检查项目（A包）三次招标公告</w:t>
      </w:r>
      <w:bookmarkEnd w:id="1"/>
      <w:bookmarkEnd w:id="2"/>
      <w:bookmarkEnd w:id="3"/>
      <w:bookmarkEnd w:id="4"/>
    </w:p>
    <w:p>
      <w:pPr>
        <w:pStyle w:val="8"/>
        <w:numPr>
          <w:ilvl w:val="0"/>
          <w:numId w:val="1"/>
        </w:numPr>
        <w:spacing w:before="78" w:line="480" w:lineRule="exact"/>
        <w:rPr>
          <w:color w:val="464646"/>
        </w:rPr>
      </w:pPr>
      <w:r>
        <w:rPr>
          <w:color w:val="464646"/>
        </w:rPr>
        <w:t>项目名称：</w:t>
      </w:r>
      <w:r>
        <w:rPr>
          <w:rFonts w:hint="eastAsia"/>
          <w:color w:val="464646"/>
        </w:rPr>
        <w:t>金乡县人民医院检验科及病理科外包检查项目（A包）三次</w:t>
      </w:r>
    </w:p>
    <w:p>
      <w:pPr>
        <w:pStyle w:val="8"/>
        <w:spacing w:line="480" w:lineRule="exact"/>
        <w:rPr>
          <w:lang w:val="en-US"/>
        </w:rPr>
      </w:pPr>
      <w:r>
        <w:rPr>
          <w:color w:val="464646"/>
        </w:rPr>
        <w:t>二、项目编号：</w:t>
      </w:r>
      <w:r>
        <w:rPr>
          <w:rFonts w:hint="eastAsia"/>
          <w:color w:val="464646"/>
        </w:rPr>
        <w:t>JXCGWT2018-GK-051-1</w:t>
      </w:r>
    </w:p>
    <w:p>
      <w:pPr>
        <w:pStyle w:val="8"/>
        <w:spacing w:before="4" w:line="480" w:lineRule="exact"/>
        <w:rPr>
          <w:color w:val="464646"/>
        </w:rPr>
      </w:pPr>
      <w:r>
        <w:rPr>
          <w:color w:val="464646"/>
        </w:rPr>
        <w:t>三、采购项目分包情况：</w:t>
      </w:r>
    </w:p>
    <w:p>
      <w:pPr>
        <w:pStyle w:val="8"/>
        <w:spacing w:before="4" w:line="480" w:lineRule="exact"/>
        <w:rPr>
          <w:color w:val="464646"/>
          <w:lang w:val="en-US"/>
        </w:rPr>
      </w:pPr>
      <w:r>
        <w:rPr>
          <w:rFonts w:hint="eastAsia"/>
          <w:color w:val="464646"/>
        </w:rPr>
        <w:t>（一）包号：</w:t>
      </w:r>
      <w:r>
        <w:rPr>
          <w:rFonts w:hint="eastAsia"/>
          <w:color w:val="464646"/>
          <w:lang w:val="en-US"/>
        </w:rPr>
        <w:t>A包</w:t>
      </w:r>
    </w:p>
    <w:p>
      <w:pPr>
        <w:pStyle w:val="8"/>
        <w:spacing w:before="4" w:line="480" w:lineRule="exact"/>
        <w:rPr>
          <w:color w:val="464646"/>
          <w:lang w:val="en-US"/>
        </w:rPr>
      </w:pPr>
      <w:r>
        <w:rPr>
          <w:rFonts w:hint="eastAsia"/>
          <w:color w:val="464646"/>
          <w:lang w:val="en-US"/>
        </w:rPr>
        <w:t>（二）采购内容：检验科外包检查项目</w:t>
      </w:r>
      <w:bookmarkStart w:id="5" w:name="_Toc7107_WPSOffice_Level2"/>
      <w:bookmarkStart w:id="6" w:name="_Toc9761_WPSOffice_Level2"/>
      <w:bookmarkStart w:id="7" w:name="_Toc27937_WPSOffice_Level2"/>
      <w:bookmarkStart w:id="8" w:name="_Toc21398_WPSOffice_Level2"/>
    </w:p>
    <w:p>
      <w:pPr>
        <w:pStyle w:val="8"/>
        <w:spacing w:before="4" w:line="480" w:lineRule="exact"/>
        <w:rPr>
          <w:color w:val="464646"/>
          <w:lang w:val="en-US"/>
        </w:rPr>
      </w:pPr>
      <w:r>
        <w:rPr>
          <w:rFonts w:hint="eastAsia"/>
          <w:color w:val="464646"/>
          <w:lang w:val="en-US"/>
        </w:rPr>
        <w:t>（三）预算金额：</w:t>
      </w:r>
      <w:bookmarkEnd w:id="5"/>
      <w:bookmarkEnd w:id="6"/>
      <w:bookmarkEnd w:id="7"/>
      <w:bookmarkEnd w:id="8"/>
      <w:r>
        <w:rPr>
          <w:rFonts w:hint="eastAsia"/>
          <w:color w:val="464646"/>
          <w:lang w:val="en-US"/>
        </w:rPr>
        <w:t>无</w:t>
      </w:r>
    </w:p>
    <w:p>
      <w:pPr>
        <w:pStyle w:val="8"/>
        <w:spacing w:before="4" w:line="480" w:lineRule="exact"/>
        <w:rPr>
          <w:color w:val="464646"/>
          <w:lang w:val="en-US"/>
        </w:rPr>
      </w:pPr>
      <w:bookmarkStart w:id="9" w:name="_Toc5095_WPSOffice_Level2"/>
      <w:bookmarkStart w:id="10" w:name="_Toc14121_WPSOffice_Level2"/>
      <w:bookmarkStart w:id="11" w:name="_Toc5372_WPSOffice_Level2"/>
      <w:bookmarkStart w:id="12" w:name="_Toc4369_WPSOffice_Level2"/>
      <w:r>
        <w:rPr>
          <w:rFonts w:hint="eastAsia"/>
          <w:color w:val="464646"/>
          <w:lang w:val="en-US"/>
        </w:rPr>
        <w:t>（四）供应商资格要求：</w:t>
      </w:r>
      <w:bookmarkEnd w:id="9"/>
      <w:bookmarkEnd w:id="10"/>
      <w:bookmarkEnd w:id="11"/>
      <w:bookmarkEnd w:id="12"/>
    </w:p>
    <w:p>
      <w:pPr>
        <w:pStyle w:val="13"/>
        <w:widowControl/>
        <w:shd w:val="clear" w:color="auto" w:fill="FFFFFF"/>
        <w:spacing w:line="480" w:lineRule="exact"/>
      </w:pPr>
      <w:r>
        <w:rPr>
          <w:rFonts w:hint="eastAsia" w:cs="宋体"/>
          <w:szCs w:val="24"/>
          <w:shd w:val="clear" w:color="auto" w:fill="FFFFFF"/>
        </w:rPr>
        <w:t>1.供应商须在中国境内注册，具有效的营业执照或具有独立法人资格，并满足招标文件要求的提供采购项目服务能力，有相当的技术力量、经济实力和良好信誉；</w:t>
      </w:r>
      <w:r>
        <w:rPr>
          <w:rStyle w:val="15"/>
          <w:rFonts w:hint="eastAsia" w:cs="宋体"/>
          <w:szCs w:val="24"/>
          <w:shd w:val="clear" w:color="auto" w:fill="FFFFFF"/>
        </w:rPr>
        <w:t>有效营业执照具有相关经营范围；</w:t>
      </w:r>
    </w:p>
    <w:p>
      <w:pPr>
        <w:pStyle w:val="13"/>
        <w:widowControl/>
        <w:shd w:val="clear" w:color="auto" w:fill="FFFFFF"/>
        <w:spacing w:line="480" w:lineRule="exact"/>
      </w:pPr>
      <w:r>
        <w:rPr>
          <w:rFonts w:hint="eastAsia" w:cs="宋体"/>
          <w:szCs w:val="24"/>
          <w:shd w:val="clear" w:color="auto" w:fill="FFFFFF"/>
        </w:rPr>
        <w:t>2.供应商须满足《中华人民共和国政府采购法》第22条规定；</w:t>
      </w:r>
    </w:p>
    <w:p>
      <w:pPr>
        <w:tabs>
          <w:tab w:val="left" w:pos="900"/>
        </w:tabs>
        <w:spacing w:line="480" w:lineRule="exact"/>
        <w:rPr>
          <w:rStyle w:val="15"/>
          <w:sz w:val="24"/>
          <w:szCs w:val="24"/>
          <w:shd w:val="clear" w:color="auto" w:fill="FFFFFF"/>
        </w:rPr>
      </w:pPr>
      <w:r>
        <w:rPr>
          <w:rStyle w:val="15"/>
          <w:rFonts w:hint="eastAsia"/>
          <w:sz w:val="24"/>
          <w:szCs w:val="24"/>
          <w:shd w:val="clear" w:color="auto" w:fill="FFFFFF"/>
        </w:rPr>
        <w:t>3.资质要求：</w:t>
      </w:r>
    </w:p>
    <w:p>
      <w:pPr>
        <w:pStyle w:val="13"/>
        <w:widowControl/>
        <w:shd w:val="clear" w:color="auto" w:fill="FFFFFF"/>
        <w:spacing w:line="480" w:lineRule="exact"/>
        <w:rPr>
          <w:rFonts w:cs="宋体"/>
          <w:szCs w:val="24"/>
          <w:shd w:val="clear" w:color="auto" w:fill="FFFFFF"/>
          <w:lang w:val="zh-CN"/>
        </w:rPr>
      </w:pPr>
      <w:r>
        <w:rPr>
          <w:rFonts w:hint="eastAsia" w:cs="宋体"/>
          <w:szCs w:val="24"/>
          <w:shd w:val="clear" w:color="auto" w:fill="FFFFFF"/>
          <w:lang w:val="zh-CN"/>
        </w:rPr>
        <w:t>（</w:t>
      </w:r>
      <w:r>
        <w:rPr>
          <w:rFonts w:hint="eastAsia" w:cs="宋体"/>
          <w:szCs w:val="24"/>
          <w:shd w:val="clear" w:color="auto" w:fill="FFFFFF"/>
        </w:rPr>
        <w:t>1</w:t>
      </w:r>
      <w:r>
        <w:rPr>
          <w:rFonts w:hint="eastAsia" w:cs="宋体"/>
          <w:szCs w:val="24"/>
          <w:shd w:val="clear" w:color="auto" w:fill="FFFFFF"/>
          <w:lang w:val="zh-CN"/>
        </w:rPr>
        <w:t>）提供中华人民共和国医疗机构执业许可证，提供第三方医学实验室服务综合能力的相关资料。</w:t>
      </w:r>
    </w:p>
    <w:p>
      <w:pPr>
        <w:pStyle w:val="13"/>
        <w:widowControl/>
        <w:shd w:val="clear" w:color="auto" w:fill="FFFFFF"/>
        <w:spacing w:line="480" w:lineRule="exact"/>
        <w:rPr>
          <w:rFonts w:cs="宋体"/>
          <w:szCs w:val="24"/>
          <w:shd w:val="clear" w:color="auto" w:fill="FFFFFF"/>
          <w:lang w:val="zh-CN"/>
        </w:rPr>
      </w:pPr>
      <w:r>
        <w:rPr>
          <w:rFonts w:hint="eastAsia" w:cs="宋体"/>
          <w:szCs w:val="24"/>
          <w:shd w:val="clear" w:color="auto" w:fill="FFFFFF"/>
          <w:lang w:val="zh-CN"/>
        </w:rPr>
        <w:t>（</w:t>
      </w:r>
      <w:r>
        <w:rPr>
          <w:rFonts w:hint="eastAsia" w:cs="宋体"/>
          <w:szCs w:val="24"/>
          <w:shd w:val="clear" w:color="auto" w:fill="FFFFFF"/>
        </w:rPr>
        <w:t>2</w:t>
      </w:r>
      <w:r>
        <w:rPr>
          <w:rFonts w:hint="eastAsia" w:cs="宋体"/>
          <w:szCs w:val="24"/>
          <w:shd w:val="clear" w:color="auto" w:fill="FFFFFF"/>
          <w:lang w:val="zh-CN"/>
        </w:rPr>
        <w:t>）提供CAP</w:t>
      </w:r>
      <w:r>
        <w:rPr>
          <w:rFonts w:hint="eastAsia" w:cs="宋体"/>
          <w:szCs w:val="24"/>
          <w:shd w:val="clear" w:color="auto" w:fill="FFFFFF"/>
        </w:rPr>
        <w:t>或</w:t>
      </w:r>
      <w:r>
        <w:rPr>
          <w:rFonts w:hint="eastAsia" w:cs="宋体"/>
          <w:szCs w:val="24"/>
          <w:shd w:val="clear" w:color="auto" w:fill="FFFFFF"/>
          <w:lang w:val="zh-CN"/>
        </w:rPr>
        <w:t>ISO15189认可的第三方医学实验室证件；基因扩增项目有临床基因扩增检验实验室技术审核合格证。</w:t>
      </w:r>
    </w:p>
    <w:p>
      <w:pPr>
        <w:pStyle w:val="13"/>
        <w:widowControl/>
        <w:shd w:val="clear" w:color="auto" w:fill="FFFFFF"/>
        <w:spacing w:line="480" w:lineRule="exact"/>
        <w:rPr>
          <w:rFonts w:cs="宋体"/>
          <w:szCs w:val="24"/>
          <w:shd w:val="clear" w:color="auto" w:fill="FFFFFF"/>
        </w:rPr>
      </w:pPr>
      <w:r>
        <w:rPr>
          <w:rFonts w:hint="eastAsia" w:cs="宋体"/>
          <w:szCs w:val="24"/>
          <w:shd w:val="clear" w:color="auto" w:fill="FFFFFF"/>
        </w:rPr>
        <w:t>（3）投标单位需承诺给予医院提供及时优质的服务。</w:t>
      </w:r>
    </w:p>
    <w:p>
      <w:pPr>
        <w:pStyle w:val="13"/>
        <w:widowControl/>
        <w:shd w:val="clear" w:color="auto" w:fill="FFFFFF"/>
        <w:spacing w:line="480" w:lineRule="exact"/>
        <w:rPr>
          <w:rFonts w:cs="宋体"/>
          <w:szCs w:val="24"/>
          <w:shd w:val="clear" w:color="auto" w:fill="FFFFFF"/>
        </w:rPr>
      </w:pPr>
      <w:r>
        <w:rPr>
          <w:rFonts w:hint="eastAsia" w:cs="宋体"/>
          <w:szCs w:val="24"/>
          <w:shd w:val="clear" w:color="auto" w:fill="FFFFFF"/>
        </w:rPr>
        <w:t>（4）有完善的质量保证体系。</w:t>
      </w:r>
    </w:p>
    <w:p>
      <w:pPr>
        <w:pStyle w:val="13"/>
        <w:widowControl/>
        <w:shd w:val="clear" w:color="auto" w:fill="FFFFFF"/>
        <w:spacing w:line="480" w:lineRule="exact"/>
      </w:pPr>
      <w:r>
        <w:rPr>
          <w:rFonts w:hint="eastAsia" w:cs="宋体"/>
          <w:szCs w:val="24"/>
          <w:shd w:val="clear" w:color="auto" w:fill="FFFFFF"/>
        </w:rPr>
        <w:t>4. 开标之日起前三年内无不良信用记录（评标委员会通过“信用中国”及“中国政府采购网”查询）；</w:t>
      </w:r>
    </w:p>
    <w:p>
      <w:pPr>
        <w:pStyle w:val="13"/>
        <w:widowControl/>
        <w:shd w:val="clear" w:color="auto" w:fill="FFFFFF"/>
        <w:spacing w:line="480" w:lineRule="exact"/>
      </w:pPr>
      <w:r>
        <w:rPr>
          <w:rFonts w:hint="eastAsia" w:cs="宋体"/>
          <w:szCs w:val="24"/>
          <w:shd w:val="clear" w:color="auto" w:fill="FFFFFF"/>
        </w:rPr>
        <w:t>5. 遵守《中华人民共和国政府采购法》及相关法律、法规和规章；</w:t>
      </w:r>
    </w:p>
    <w:p>
      <w:pPr>
        <w:pStyle w:val="13"/>
        <w:widowControl/>
        <w:shd w:val="clear" w:color="auto" w:fill="FFFFFF"/>
        <w:spacing w:line="480" w:lineRule="exact"/>
      </w:pPr>
      <w:r>
        <w:rPr>
          <w:rFonts w:hint="eastAsia" w:cs="宋体"/>
          <w:szCs w:val="24"/>
          <w:shd w:val="clear" w:color="auto" w:fill="FFFFFF"/>
        </w:rPr>
        <w:t>6.一个供应商只能提交一个报价文件。如果供应商之间存在下列互为关联关系(国有控股公司除外)的情形之一的，不得同时参加本项目投标：</w:t>
      </w:r>
    </w:p>
    <w:p>
      <w:pPr>
        <w:pStyle w:val="13"/>
        <w:widowControl/>
        <w:shd w:val="clear" w:color="auto" w:fill="FFFFFF"/>
        <w:spacing w:line="480" w:lineRule="exact"/>
      </w:pPr>
      <w:r>
        <w:rPr>
          <w:rFonts w:hint="eastAsia" w:cs="宋体"/>
          <w:szCs w:val="24"/>
          <w:shd w:val="clear" w:color="auto" w:fill="FFFFFF"/>
        </w:rPr>
        <w:t>6.1法定代表人为同一人的两个及两个以上法人；</w:t>
      </w:r>
    </w:p>
    <w:p>
      <w:pPr>
        <w:pStyle w:val="13"/>
        <w:widowControl/>
        <w:shd w:val="clear" w:color="auto" w:fill="FFFFFF"/>
        <w:spacing w:line="480" w:lineRule="exact"/>
      </w:pPr>
      <w:r>
        <w:rPr>
          <w:rFonts w:hint="eastAsia" w:cs="宋体"/>
          <w:szCs w:val="24"/>
          <w:shd w:val="clear" w:color="auto" w:fill="FFFFFF"/>
        </w:rPr>
        <w:t>6.2 母公司、直接或间接持股50%及以上的被投资公司；</w:t>
      </w:r>
    </w:p>
    <w:p>
      <w:pPr>
        <w:pStyle w:val="13"/>
        <w:widowControl/>
        <w:shd w:val="clear" w:color="auto" w:fill="FFFFFF"/>
        <w:spacing w:line="480" w:lineRule="exact"/>
      </w:pPr>
      <w:r>
        <w:rPr>
          <w:rFonts w:hint="eastAsia" w:cs="宋体"/>
          <w:szCs w:val="24"/>
          <w:shd w:val="clear" w:color="auto" w:fill="FFFFFF"/>
        </w:rPr>
        <w:t>6.3 均为同一家母公司直接或间接持股50%及以上的被投资公司；</w:t>
      </w:r>
    </w:p>
    <w:p>
      <w:pPr>
        <w:pStyle w:val="13"/>
        <w:widowControl/>
        <w:shd w:val="clear" w:color="auto" w:fill="FFFFFF"/>
        <w:spacing w:line="480" w:lineRule="exact"/>
      </w:pPr>
      <w:r>
        <w:rPr>
          <w:rFonts w:hint="eastAsia" w:cs="宋体"/>
          <w:szCs w:val="24"/>
          <w:shd w:val="clear" w:color="auto" w:fill="FFFFFF"/>
        </w:rPr>
        <w:t>7. 本项目不接受联合体投标；</w:t>
      </w:r>
    </w:p>
    <w:p>
      <w:pPr>
        <w:pStyle w:val="8"/>
        <w:spacing w:line="480" w:lineRule="exact"/>
        <w:rPr>
          <w:shd w:val="clear" w:color="auto" w:fill="FFFFFF"/>
        </w:rPr>
      </w:pPr>
      <w:r>
        <w:rPr>
          <w:rFonts w:hint="eastAsia"/>
          <w:shd w:val="clear" w:color="auto" w:fill="FFFFFF"/>
        </w:rPr>
        <w:t>8. 本项目采用资格后审。</w:t>
      </w:r>
    </w:p>
    <w:p>
      <w:pPr>
        <w:pStyle w:val="8"/>
        <w:spacing w:line="480" w:lineRule="exact"/>
      </w:pPr>
      <w:r>
        <w:rPr>
          <w:rFonts w:hint="eastAsia"/>
          <w:shd w:val="clear" w:color="auto" w:fill="FFFFFF"/>
        </w:rPr>
        <w:t>四</w:t>
      </w:r>
      <w:r>
        <w:t>、本项目实行网上报价，采用投标文件电子文档报价和纸制投标文件存档的方式（详情见招标文件）。</w:t>
      </w:r>
    </w:p>
    <w:p>
      <w:pPr>
        <w:pStyle w:val="8"/>
        <w:spacing w:line="480" w:lineRule="exact"/>
      </w:pPr>
      <w:r>
        <w:t>五、招标文件的获取</w:t>
      </w:r>
    </w:p>
    <w:p>
      <w:pPr>
        <w:pStyle w:val="8"/>
        <w:spacing w:line="480" w:lineRule="exact"/>
      </w:pPr>
      <w:r>
        <w:t>1、凡未在金乡县公共资源交易服务中心政府采购注册登记窗口注册的投标人应先办理注册，注册程序详见济宁市（金乡县）政府采购网站【http://218.59.158.81:8888/login/】“办公指南”中的“供应商注册登记程序”,并按照普通供应商注册登记程序办理。CA 电子密钥的办理实行投标人自愿原则，CA 电子密钥咨询电话：3202114。已办理过注册投标人，使用注册的账号、密码登陆济宁市（金乡县）政府采购网，响应本项目并下载招标文件。</w:t>
      </w:r>
    </w:p>
    <w:p>
      <w:pPr>
        <w:pStyle w:val="8"/>
        <w:spacing w:before="2" w:line="480" w:lineRule="exact"/>
      </w:pPr>
      <w:r>
        <w:t>六、响应文件的时间</w:t>
      </w:r>
    </w:p>
    <w:p>
      <w:pPr>
        <w:pStyle w:val="8"/>
        <w:spacing w:line="480" w:lineRule="exact"/>
      </w:pPr>
      <w:r>
        <w:t xml:space="preserve">所有投标单位应于 </w:t>
      </w:r>
      <w:r>
        <w:rPr>
          <w:highlight w:val="yellow"/>
        </w:rPr>
        <w:t>201</w:t>
      </w:r>
      <w:r>
        <w:rPr>
          <w:rFonts w:hint="eastAsia"/>
          <w:highlight w:val="yellow"/>
          <w:lang w:val="en-US"/>
        </w:rPr>
        <w:t>9</w:t>
      </w:r>
      <w:r>
        <w:rPr>
          <w:highlight w:val="yellow"/>
        </w:rPr>
        <w:t>年</w:t>
      </w:r>
      <w:r>
        <w:rPr>
          <w:rFonts w:hint="eastAsia"/>
          <w:highlight w:val="yellow"/>
          <w:lang w:val="en-US"/>
        </w:rPr>
        <w:t>4</w:t>
      </w:r>
      <w:r>
        <w:rPr>
          <w:highlight w:val="yellow"/>
        </w:rPr>
        <w:t>月</w:t>
      </w:r>
      <w:r>
        <w:rPr>
          <w:rFonts w:hint="eastAsia"/>
          <w:highlight w:val="yellow"/>
          <w:lang w:val="en-US"/>
        </w:rPr>
        <w:t xml:space="preserve"> </w:t>
      </w:r>
      <w:r>
        <w:rPr>
          <w:highlight w:val="yellow"/>
        </w:rPr>
        <w:t>日</w:t>
      </w:r>
      <w:r>
        <w:rPr>
          <w:rFonts w:hint="eastAsia"/>
          <w:highlight w:val="yellow"/>
        </w:rPr>
        <w:t>17</w:t>
      </w:r>
      <w:r>
        <w:t>:30(北京时间)之前登录济宁市（金乡县）政府采购网响应项目。</w:t>
      </w:r>
    </w:p>
    <w:p>
      <w:pPr>
        <w:pStyle w:val="8"/>
        <w:spacing w:before="1" w:line="480" w:lineRule="exact"/>
      </w:pPr>
      <w:r>
        <w:t>具体操作：登录济宁市（金乡县）政府采购网站</w:t>
      </w:r>
    </w:p>
    <w:p>
      <w:pPr>
        <w:pStyle w:val="8"/>
        <w:spacing w:before="1" w:line="480" w:lineRule="exact"/>
      </w:pPr>
      <w:r>
        <w:fldChar w:fldCharType="begin"/>
      </w:r>
      <w:r>
        <w:instrText xml:space="preserve">HYPERLINK "http://218.59.158.81:8888/login/点击" </w:instrText>
      </w:r>
      <w:r>
        <w:fldChar w:fldCharType="separate"/>
      </w:r>
      <w:r>
        <w:t>http://218.59.158.81:8888/login/点击“采购项目—&gt;项目报名列表-报名”。</w:t>
      </w:r>
      <w:r>
        <w:fldChar w:fldCharType="end"/>
      </w:r>
    </w:p>
    <w:p>
      <w:pPr>
        <w:pStyle w:val="8"/>
        <w:spacing w:line="480" w:lineRule="exact"/>
      </w:pPr>
      <w:r>
        <w:t>七、投标文件的上传</w:t>
      </w:r>
    </w:p>
    <w:p>
      <w:pPr>
        <w:pStyle w:val="8"/>
        <w:spacing w:line="480" w:lineRule="exact"/>
      </w:pPr>
      <w:r>
        <w:rPr>
          <w:spacing w:val="-9"/>
        </w:rPr>
        <w:t>所有投标文件应于</w:t>
      </w:r>
      <w:r>
        <w:rPr>
          <w:spacing w:val="-9"/>
          <w:highlight w:val="yellow"/>
        </w:rPr>
        <w:t xml:space="preserve"> </w:t>
      </w:r>
      <w:r>
        <w:rPr>
          <w:highlight w:val="yellow"/>
        </w:rPr>
        <w:t>201</w:t>
      </w:r>
      <w:r>
        <w:rPr>
          <w:rFonts w:hint="eastAsia"/>
          <w:highlight w:val="yellow"/>
          <w:lang w:val="en-US"/>
        </w:rPr>
        <w:t xml:space="preserve">9 </w:t>
      </w:r>
      <w:r>
        <w:rPr>
          <w:spacing w:val="-50"/>
          <w:highlight w:val="yellow"/>
        </w:rPr>
        <w:t>年</w:t>
      </w:r>
      <w:r>
        <w:rPr>
          <w:rFonts w:hint="eastAsia"/>
          <w:spacing w:val="-50"/>
          <w:highlight w:val="yellow"/>
        </w:rPr>
        <w:t xml:space="preserve">    </w:t>
      </w:r>
      <w:r>
        <w:rPr>
          <w:rFonts w:hint="eastAsia"/>
          <w:highlight w:val="yellow"/>
          <w:lang w:val="en-US"/>
        </w:rPr>
        <w:t>4</w:t>
      </w:r>
      <w:r>
        <w:rPr>
          <w:highlight w:val="yellow"/>
        </w:rPr>
        <w:t>月</w:t>
      </w:r>
      <w:r>
        <w:rPr>
          <w:rFonts w:hint="eastAsia"/>
          <w:highlight w:val="yellow"/>
          <w:lang w:val="en-US"/>
        </w:rPr>
        <w:t xml:space="preserve"> </w:t>
      </w:r>
      <w:r>
        <w:rPr>
          <w:highlight w:val="yellow"/>
        </w:rPr>
        <w:t>日</w:t>
      </w:r>
      <w:r>
        <w:rPr>
          <w:rFonts w:hint="eastAsia"/>
          <w:highlight w:val="yellow"/>
          <w:lang w:val="en-US"/>
        </w:rPr>
        <w:t>14</w:t>
      </w:r>
      <w:r>
        <w:rPr>
          <w:highlight w:val="yellow"/>
        </w:rPr>
        <w:t>:</w:t>
      </w:r>
      <w:r>
        <w:rPr>
          <w:rFonts w:hint="eastAsia"/>
          <w:highlight w:val="yellow"/>
          <w:lang w:val="en-US"/>
        </w:rPr>
        <w:t>00</w:t>
      </w:r>
      <w:r>
        <w:rPr>
          <w:spacing w:val="-10"/>
          <w:highlight w:val="yellow"/>
        </w:rPr>
        <w:t>时(</w:t>
      </w:r>
      <w:r>
        <w:rPr>
          <w:spacing w:val="-10"/>
        </w:rPr>
        <w:t>北京时间)之前上传到济宁市</w:t>
      </w:r>
      <w:r>
        <w:t>政府采购网。</w:t>
      </w:r>
    </w:p>
    <w:p>
      <w:pPr>
        <w:pStyle w:val="8"/>
        <w:spacing w:line="480" w:lineRule="exact"/>
      </w:pPr>
      <w:r>
        <w:t>具体操作：登录“金乡招标采购信息网”选择“济宁市政府采购网”进入</w:t>
      </w:r>
    </w:p>
    <w:p>
      <w:pPr>
        <w:pStyle w:val="8"/>
        <w:spacing w:line="480" w:lineRule="exact"/>
      </w:pPr>
      <w:r>
        <w:fldChar w:fldCharType="begin"/>
      </w:r>
      <w:r>
        <w:instrText xml:space="preserve">HYPERLINK "http://218.59.158.81:8888/login/上传投标文件。" </w:instrText>
      </w:r>
      <w:r>
        <w:fldChar w:fldCharType="separate"/>
      </w:r>
      <w:r>
        <w:t>http://218.59.158.81:8888/login/上传投标文件。</w:t>
      </w:r>
      <w:r>
        <w:fldChar w:fldCharType="end"/>
      </w:r>
    </w:p>
    <w:p>
      <w:pPr>
        <w:pStyle w:val="8"/>
        <w:spacing w:line="480" w:lineRule="exact"/>
      </w:pPr>
      <w:r>
        <w:t>八、递交纸质投标文件时间及地点</w:t>
      </w:r>
    </w:p>
    <w:p>
      <w:pPr>
        <w:pStyle w:val="8"/>
        <w:spacing w:line="480" w:lineRule="exact"/>
        <w:rPr>
          <w:highlight w:val="yellow"/>
        </w:rPr>
      </w:pPr>
      <w:r>
        <w:rPr>
          <w:highlight w:val="yellow"/>
        </w:rPr>
        <w:t>时间：201</w:t>
      </w:r>
      <w:r>
        <w:rPr>
          <w:rFonts w:hint="eastAsia"/>
          <w:highlight w:val="yellow"/>
          <w:lang w:val="en-US"/>
        </w:rPr>
        <w:t>9</w:t>
      </w:r>
      <w:r>
        <w:rPr>
          <w:highlight w:val="yellow"/>
        </w:rPr>
        <w:t>年</w:t>
      </w:r>
      <w:r>
        <w:rPr>
          <w:rFonts w:hint="eastAsia"/>
          <w:highlight w:val="yellow"/>
          <w:lang w:val="en-US"/>
        </w:rPr>
        <w:t>4</w:t>
      </w:r>
      <w:r>
        <w:rPr>
          <w:highlight w:val="yellow"/>
        </w:rPr>
        <w:t>月</w:t>
      </w:r>
      <w:r>
        <w:rPr>
          <w:rFonts w:hint="eastAsia"/>
          <w:highlight w:val="yellow"/>
          <w:lang w:val="en-US"/>
        </w:rPr>
        <w:t xml:space="preserve"> </w:t>
      </w:r>
      <w:r>
        <w:rPr>
          <w:highlight w:val="yellow"/>
        </w:rPr>
        <w:t xml:space="preserve">日 </w:t>
      </w:r>
      <w:r>
        <w:rPr>
          <w:rFonts w:hint="eastAsia"/>
          <w:highlight w:val="yellow"/>
          <w:lang w:val="en-US"/>
        </w:rPr>
        <w:t>13</w:t>
      </w:r>
      <w:r>
        <w:rPr>
          <w:highlight w:val="yellow"/>
        </w:rPr>
        <w:t>:</w:t>
      </w:r>
      <w:r>
        <w:rPr>
          <w:rFonts w:hint="eastAsia"/>
          <w:highlight w:val="yellow"/>
          <w:lang w:val="en-US"/>
        </w:rPr>
        <w:t>3</w:t>
      </w:r>
      <w:r>
        <w:rPr>
          <w:highlight w:val="yellow"/>
        </w:rPr>
        <w:t>0-</w:t>
      </w:r>
      <w:r>
        <w:rPr>
          <w:rFonts w:hint="eastAsia"/>
          <w:highlight w:val="yellow"/>
          <w:lang w:val="en-US"/>
        </w:rPr>
        <w:t>14</w:t>
      </w:r>
      <w:r>
        <w:rPr>
          <w:highlight w:val="yellow"/>
        </w:rPr>
        <w:t>:</w:t>
      </w:r>
      <w:r>
        <w:rPr>
          <w:rFonts w:hint="eastAsia"/>
          <w:highlight w:val="yellow"/>
          <w:lang w:val="en-US"/>
        </w:rPr>
        <w:t>0</w:t>
      </w:r>
      <w:r>
        <w:rPr>
          <w:highlight w:val="yellow"/>
        </w:rPr>
        <w:t>0（北京时间）</w:t>
      </w:r>
    </w:p>
    <w:p>
      <w:pPr>
        <w:pStyle w:val="8"/>
        <w:spacing w:line="480" w:lineRule="exact"/>
      </w:pPr>
      <w:r>
        <w:rPr>
          <w:spacing w:val="-10"/>
        </w:rPr>
        <w:t>地点： 金乡县公共资源交易服务中心(金乡县金珠路与山阳路交叉处</w:t>
      </w:r>
      <w:r>
        <w:t>（西南</w:t>
      </w:r>
      <w:r>
        <w:rPr>
          <w:spacing w:val="-16"/>
        </w:rPr>
        <w:t xml:space="preserve">） </w:t>
      </w:r>
      <w:r>
        <w:t>五楼)。</w:t>
      </w:r>
    </w:p>
    <w:p>
      <w:pPr>
        <w:pStyle w:val="8"/>
        <w:spacing w:line="480" w:lineRule="exact"/>
      </w:pPr>
      <w:bookmarkStart w:id="13" w:name="_Toc29730_WPSOffice_Level2"/>
      <w:bookmarkStart w:id="14" w:name="_Toc31947_WPSOffice_Level2"/>
      <w:bookmarkStart w:id="15" w:name="_Toc32327_WPSOffice_Level2"/>
      <w:bookmarkStart w:id="16" w:name="_Toc31385_WPSOffice_Level2"/>
      <w:bookmarkStart w:id="17" w:name="_Toc13704_WPSOffice_Level2"/>
      <w:r>
        <w:t>九、投标人投标文件解密时间及地点</w:t>
      </w:r>
      <w:bookmarkEnd w:id="13"/>
      <w:bookmarkEnd w:id="14"/>
      <w:bookmarkEnd w:id="15"/>
      <w:bookmarkEnd w:id="16"/>
      <w:bookmarkEnd w:id="17"/>
    </w:p>
    <w:p>
      <w:pPr>
        <w:pStyle w:val="8"/>
        <w:spacing w:before="135" w:line="480" w:lineRule="exact"/>
        <w:rPr>
          <w:highlight w:val="yellow"/>
        </w:rPr>
      </w:pPr>
      <w:r>
        <w:rPr>
          <w:highlight w:val="yellow"/>
        </w:rPr>
        <w:t>解密时间：201</w:t>
      </w:r>
      <w:r>
        <w:rPr>
          <w:rFonts w:hint="eastAsia"/>
          <w:highlight w:val="yellow"/>
          <w:lang w:val="en-US"/>
        </w:rPr>
        <w:t>9</w:t>
      </w:r>
      <w:r>
        <w:rPr>
          <w:highlight w:val="yellow"/>
        </w:rPr>
        <w:t>年</w:t>
      </w:r>
      <w:r>
        <w:rPr>
          <w:rFonts w:hint="eastAsia"/>
          <w:highlight w:val="yellow"/>
          <w:lang w:val="en-US"/>
        </w:rPr>
        <w:t>4</w:t>
      </w:r>
      <w:r>
        <w:rPr>
          <w:highlight w:val="yellow"/>
        </w:rPr>
        <w:t>月</w:t>
      </w:r>
      <w:r>
        <w:rPr>
          <w:rFonts w:hint="eastAsia"/>
          <w:highlight w:val="yellow"/>
          <w:lang w:val="en-US"/>
        </w:rPr>
        <w:t xml:space="preserve">  </w:t>
      </w:r>
      <w:r>
        <w:rPr>
          <w:highlight w:val="yellow"/>
        </w:rPr>
        <w:t xml:space="preserve">日 </w:t>
      </w:r>
      <w:r>
        <w:rPr>
          <w:rFonts w:hint="eastAsia"/>
          <w:highlight w:val="yellow"/>
          <w:lang w:val="en-US"/>
        </w:rPr>
        <w:t>14</w:t>
      </w:r>
      <w:r>
        <w:rPr>
          <w:highlight w:val="yellow"/>
        </w:rPr>
        <w:t>:</w:t>
      </w:r>
      <w:r>
        <w:rPr>
          <w:rFonts w:hint="eastAsia"/>
          <w:highlight w:val="yellow"/>
          <w:lang w:val="en-US"/>
        </w:rPr>
        <w:t>00</w:t>
      </w:r>
      <w:r>
        <w:rPr>
          <w:highlight w:val="yellow"/>
        </w:rPr>
        <w:t xml:space="preserve"> 时之后 (北京时间)</w:t>
      </w:r>
    </w:p>
    <w:p>
      <w:pPr>
        <w:pStyle w:val="8"/>
        <w:spacing w:line="480" w:lineRule="exact"/>
      </w:pPr>
      <w:r>
        <w:rPr>
          <w:spacing w:val="-4"/>
        </w:rPr>
        <w:t>解密地点：金乡县公共资源交易服务中心(金乡县金珠路与山阳路交叉处</w:t>
      </w:r>
      <w:r>
        <w:t>（</w:t>
      </w:r>
      <w:r>
        <w:rPr>
          <w:spacing w:val="-16"/>
        </w:rPr>
        <w:t>西</w:t>
      </w:r>
      <w:r>
        <w:t>南）五楼)。</w:t>
      </w:r>
    </w:p>
    <w:p>
      <w:pPr>
        <w:spacing w:line="480" w:lineRule="exact"/>
        <w:rPr>
          <w:sz w:val="24"/>
          <w:szCs w:val="24"/>
        </w:rPr>
      </w:pPr>
      <w:bookmarkStart w:id="18" w:name="_Toc28095_WPSOffice_Level2"/>
      <w:bookmarkStart w:id="19" w:name="_Toc15640_WPSOffice_Level2"/>
      <w:bookmarkStart w:id="20" w:name="_Toc28910_WPSOffice_Level2"/>
      <w:bookmarkStart w:id="21" w:name="_Toc22547_WPSOffice_Level2"/>
      <w:bookmarkStart w:id="22" w:name="_Toc6659_WPSOffice_Level2"/>
      <w:r>
        <w:rPr>
          <w:sz w:val="24"/>
          <w:szCs w:val="24"/>
        </w:rPr>
        <w:t>十、开标时间及地点</w:t>
      </w:r>
      <w:bookmarkEnd w:id="18"/>
      <w:bookmarkEnd w:id="19"/>
      <w:bookmarkEnd w:id="20"/>
      <w:bookmarkEnd w:id="21"/>
      <w:bookmarkEnd w:id="22"/>
    </w:p>
    <w:p>
      <w:pPr>
        <w:spacing w:line="480" w:lineRule="exact"/>
        <w:rPr>
          <w:sz w:val="24"/>
          <w:szCs w:val="24"/>
          <w:highlight w:val="yellow"/>
        </w:rPr>
      </w:pPr>
      <w:r>
        <w:rPr>
          <w:sz w:val="24"/>
          <w:szCs w:val="24"/>
          <w:highlight w:val="yellow"/>
        </w:rPr>
        <w:t>时间：</w:t>
      </w:r>
      <w:r>
        <w:rPr>
          <w:rFonts w:hint="eastAsia"/>
          <w:sz w:val="24"/>
          <w:szCs w:val="24"/>
          <w:highlight w:val="yellow"/>
          <w:lang w:val="en-US"/>
        </w:rPr>
        <w:t>2019年4月  日 14:00 时 (北京时间)</w:t>
      </w:r>
    </w:p>
    <w:p>
      <w:pPr>
        <w:spacing w:line="480" w:lineRule="exact"/>
        <w:rPr>
          <w:sz w:val="24"/>
          <w:szCs w:val="24"/>
        </w:rPr>
      </w:pPr>
      <w:r>
        <w:rPr>
          <w:rFonts w:hint="eastAsia"/>
          <w:sz w:val="24"/>
          <w:szCs w:val="24"/>
        </w:rPr>
        <w:t>地</w:t>
      </w:r>
      <w:r>
        <w:rPr>
          <w:sz w:val="24"/>
          <w:szCs w:val="24"/>
        </w:rPr>
        <w:t>点： 金乡县公共资源交易服务中心(金乡县金珠路与山阳路交叉处（西南</w:t>
      </w:r>
      <w:r>
        <w:rPr>
          <w:rFonts w:hint="eastAsia"/>
          <w:sz w:val="24"/>
          <w:szCs w:val="24"/>
        </w:rPr>
        <w:t>）</w:t>
      </w:r>
      <w:r>
        <w:rPr>
          <w:sz w:val="24"/>
          <w:szCs w:val="24"/>
        </w:rPr>
        <w:t>五楼)。</w:t>
      </w:r>
    </w:p>
    <w:p>
      <w:pPr>
        <w:spacing w:line="480" w:lineRule="exact"/>
        <w:rPr>
          <w:sz w:val="24"/>
          <w:szCs w:val="24"/>
        </w:rPr>
      </w:pPr>
      <w:bookmarkStart w:id="23" w:name="_Toc30658_WPSOffice_Level2"/>
      <w:bookmarkStart w:id="24" w:name="_Toc25727_WPSOffice_Level2"/>
      <w:bookmarkStart w:id="25" w:name="_Toc20026_WPSOffice_Level2"/>
      <w:bookmarkStart w:id="26" w:name="_Toc4454_WPSOffice_Level2"/>
      <w:r>
        <w:rPr>
          <w:sz w:val="24"/>
          <w:szCs w:val="24"/>
        </w:rPr>
        <w:t>十一、未尽事宜或须澄清的内容请联系招标人或招标代理机构</w:t>
      </w:r>
      <w:bookmarkEnd w:id="23"/>
      <w:bookmarkEnd w:id="24"/>
      <w:bookmarkEnd w:id="25"/>
      <w:bookmarkEnd w:id="26"/>
    </w:p>
    <w:p>
      <w:pPr>
        <w:spacing w:line="480" w:lineRule="exact"/>
        <w:rPr>
          <w:sz w:val="24"/>
          <w:szCs w:val="24"/>
        </w:rPr>
      </w:pPr>
      <w:r>
        <w:rPr>
          <w:rFonts w:hint="eastAsia"/>
          <w:sz w:val="24"/>
          <w:szCs w:val="24"/>
          <w:lang w:val="en-US"/>
        </w:rPr>
        <w:t>1.</w:t>
      </w:r>
      <w:r>
        <w:rPr>
          <w:sz w:val="24"/>
          <w:szCs w:val="24"/>
        </w:rPr>
        <w:t xml:space="preserve">招标人： </w:t>
      </w:r>
      <w:r>
        <w:rPr>
          <w:rFonts w:hint="eastAsia"/>
          <w:sz w:val="24"/>
          <w:szCs w:val="24"/>
        </w:rPr>
        <w:t>金乡县人民医院</w:t>
      </w:r>
    </w:p>
    <w:p>
      <w:pPr>
        <w:spacing w:line="480" w:lineRule="exact"/>
        <w:rPr>
          <w:sz w:val="24"/>
          <w:szCs w:val="24"/>
        </w:rPr>
      </w:pPr>
      <w:r>
        <w:rPr>
          <w:sz w:val="24"/>
          <w:szCs w:val="24"/>
        </w:rPr>
        <w:t>联系人：</w:t>
      </w:r>
      <w:r>
        <w:rPr>
          <w:rFonts w:hint="eastAsia"/>
          <w:sz w:val="24"/>
          <w:szCs w:val="24"/>
        </w:rPr>
        <w:t>李主任</w:t>
      </w:r>
      <w:r>
        <w:rPr>
          <w:sz w:val="24"/>
          <w:szCs w:val="24"/>
        </w:rPr>
        <w:tab/>
      </w:r>
    </w:p>
    <w:p>
      <w:pPr>
        <w:spacing w:line="480" w:lineRule="exact"/>
        <w:rPr>
          <w:sz w:val="24"/>
          <w:szCs w:val="24"/>
        </w:rPr>
      </w:pPr>
      <w:r>
        <w:rPr>
          <w:sz w:val="24"/>
          <w:szCs w:val="24"/>
        </w:rPr>
        <w:t>联系方式：</w:t>
      </w:r>
    </w:p>
    <w:p>
      <w:pPr>
        <w:spacing w:line="480" w:lineRule="exact"/>
        <w:rPr>
          <w:sz w:val="24"/>
          <w:szCs w:val="24"/>
        </w:rPr>
      </w:pPr>
      <w:r>
        <w:rPr>
          <w:rFonts w:hint="eastAsia"/>
          <w:sz w:val="24"/>
          <w:szCs w:val="24"/>
          <w:lang w:val="en-US"/>
        </w:rPr>
        <w:t>2.</w:t>
      </w:r>
      <w:r>
        <w:rPr>
          <w:sz w:val="24"/>
          <w:szCs w:val="24"/>
        </w:rPr>
        <w:t>采购代理机构：</w:t>
      </w:r>
      <w:r>
        <w:rPr>
          <w:rFonts w:hint="eastAsia"/>
          <w:sz w:val="24"/>
          <w:szCs w:val="24"/>
        </w:rPr>
        <w:t>中正信造价咨询有限公司</w:t>
      </w:r>
    </w:p>
    <w:p>
      <w:pPr>
        <w:spacing w:line="480" w:lineRule="exact"/>
        <w:rPr>
          <w:sz w:val="24"/>
          <w:szCs w:val="24"/>
        </w:rPr>
      </w:pPr>
      <w:r>
        <w:rPr>
          <w:sz w:val="24"/>
          <w:szCs w:val="24"/>
        </w:rPr>
        <w:t>联 系 人：</w:t>
      </w:r>
      <w:r>
        <w:rPr>
          <w:rFonts w:hint="eastAsia"/>
          <w:sz w:val="24"/>
          <w:szCs w:val="24"/>
        </w:rPr>
        <w:t>徐晨阳</w:t>
      </w:r>
      <w:r>
        <w:rPr>
          <w:sz w:val="24"/>
          <w:szCs w:val="24"/>
        </w:rPr>
        <w:tab/>
      </w:r>
    </w:p>
    <w:p>
      <w:pPr>
        <w:spacing w:line="480" w:lineRule="exact"/>
        <w:rPr>
          <w:sz w:val="24"/>
          <w:szCs w:val="24"/>
        </w:rPr>
      </w:pPr>
      <w:r>
        <w:rPr>
          <w:sz w:val="24"/>
          <w:szCs w:val="24"/>
        </w:rPr>
        <w:t>联系方式：</w:t>
      </w:r>
      <w:r>
        <w:rPr>
          <w:rFonts w:hint="eastAsia"/>
          <w:sz w:val="24"/>
          <w:szCs w:val="24"/>
          <w:lang w:val="en-US"/>
        </w:rPr>
        <w:t>0531-81283338</w:t>
      </w:r>
    </w:p>
    <w:p>
      <w:pPr>
        <w:spacing w:line="480" w:lineRule="exact"/>
        <w:rPr>
          <w:sz w:val="24"/>
          <w:szCs w:val="24"/>
          <w:lang w:val="en-US"/>
        </w:rPr>
      </w:pPr>
      <w:r>
        <w:rPr>
          <w:sz w:val="24"/>
          <w:szCs w:val="24"/>
        </w:rPr>
        <w:t>地址：金乡县</w:t>
      </w:r>
      <w:r>
        <w:rPr>
          <w:rFonts w:hint="eastAsia"/>
          <w:sz w:val="24"/>
          <w:szCs w:val="24"/>
        </w:rPr>
        <w:t>智慧产业园</w:t>
      </w:r>
      <w:r>
        <w:rPr>
          <w:rFonts w:hint="eastAsia"/>
          <w:sz w:val="24"/>
          <w:szCs w:val="24"/>
          <w:lang w:val="en-US"/>
        </w:rPr>
        <w:t>1019</w:t>
      </w:r>
    </w:p>
    <w:p>
      <w:pPr>
        <w:spacing w:line="480" w:lineRule="exact"/>
        <w:rPr>
          <w:sz w:val="24"/>
          <w:szCs w:val="24"/>
        </w:rPr>
      </w:pPr>
      <w:r>
        <w:rPr>
          <w:rFonts w:hint="eastAsia"/>
          <w:sz w:val="24"/>
          <w:szCs w:val="24"/>
          <w:lang w:val="en-US"/>
        </w:rPr>
        <w:t>3.</w:t>
      </w:r>
      <w:r>
        <w:rPr>
          <w:sz w:val="24"/>
          <w:szCs w:val="24"/>
        </w:rPr>
        <w:t>金乡县公共资源交易服务中心</w:t>
      </w:r>
    </w:p>
    <w:p>
      <w:pPr>
        <w:spacing w:line="480" w:lineRule="exact"/>
        <w:rPr>
          <w:sz w:val="24"/>
          <w:szCs w:val="24"/>
        </w:rPr>
      </w:pPr>
      <w:r>
        <w:rPr>
          <w:sz w:val="24"/>
          <w:szCs w:val="24"/>
        </w:rPr>
        <w:t>地址： 金乡县公共资源交易服务中心(金乡县金珠路与山阳路交叉处。</w:t>
      </w:r>
    </w:p>
    <w:p>
      <w:pPr>
        <w:spacing w:line="480" w:lineRule="exact"/>
        <w:rPr>
          <w:sz w:val="24"/>
          <w:szCs w:val="24"/>
        </w:rPr>
      </w:pPr>
      <w:r>
        <w:rPr>
          <w:sz w:val="24"/>
          <w:szCs w:val="24"/>
        </w:rPr>
        <w:t>联系人：</w:t>
      </w:r>
      <w:r>
        <w:rPr>
          <w:rFonts w:hint="eastAsia"/>
          <w:sz w:val="24"/>
          <w:szCs w:val="24"/>
        </w:rPr>
        <w:t>马</w:t>
      </w:r>
      <w:r>
        <w:rPr>
          <w:sz w:val="24"/>
          <w:szCs w:val="24"/>
        </w:rPr>
        <w:t>科长</w:t>
      </w:r>
    </w:p>
    <w:p>
      <w:pPr>
        <w:spacing w:line="480" w:lineRule="exact"/>
        <w:rPr>
          <w:sz w:val="24"/>
          <w:szCs w:val="24"/>
        </w:rPr>
      </w:pPr>
      <w:r>
        <w:rPr>
          <w:sz w:val="24"/>
          <w:szCs w:val="24"/>
        </w:rPr>
        <w:t>联系电话：0537-8773219</w:t>
      </w:r>
    </w:p>
    <w:p>
      <w:pPr>
        <w:tabs>
          <w:tab w:val="left" w:pos="9680"/>
        </w:tabs>
        <w:spacing w:line="480" w:lineRule="exact"/>
        <w:rPr>
          <w:b/>
          <w:bCs/>
          <w:sz w:val="24"/>
        </w:rPr>
      </w:pPr>
      <w:r>
        <w:rPr>
          <w:rFonts w:hint="eastAsia"/>
          <w:b/>
          <w:bCs/>
          <w:sz w:val="24"/>
        </w:rPr>
        <w:t>注：本项目公告将同时在济宁市公共资源【政府采购】交易网站：</w:t>
      </w:r>
      <w:r>
        <w:fldChar w:fldCharType="begin"/>
      </w:r>
      <w:r>
        <w:instrText xml:space="preserve">HYPERLINK "http://218.59.158.81:8888/login/" </w:instrText>
      </w:r>
      <w:r>
        <w:fldChar w:fldCharType="separate"/>
      </w:r>
      <w:r>
        <w:rPr>
          <w:rStyle w:val="17"/>
          <w:rFonts w:hint="eastAsia"/>
          <w:b/>
          <w:bCs/>
          <w:sz w:val="24"/>
        </w:rPr>
        <w:t>http://218.59.158.81:8888/login/</w:t>
      </w:r>
      <w:r>
        <w:fldChar w:fldCharType="end"/>
      </w:r>
      <w:r>
        <w:rPr>
          <w:rFonts w:hint="eastAsia"/>
          <w:b/>
          <w:bCs/>
          <w:sz w:val="24"/>
        </w:rPr>
        <w:t xml:space="preserve">发布,金乡公共资源交易网(http://www.jnggzyjy.gov.cn/JinXiang)发布。 </w:t>
      </w:r>
    </w:p>
    <w:p>
      <w:pPr>
        <w:tabs>
          <w:tab w:val="left" w:pos="9680"/>
        </w:tabs>
        <w:spacing w:line="480" w:lineRule="exact"/>
        <w:rPr>
          <w:b/>
          <w:bCs/>
          <w:sz w:val="24"/>
        </w:rPr>
      </w:pPr>
      <w:r>
        <w:rPr>
          <w:rFonts w:hint="eastAsia"/>
          <w:b/>
          <w:bCs/>
          <w:sz w:val="24"/>
        </w:rPr>
        <w:t xml:space="preserve">本项目如有必要澄清和修改需要发布更正公告的，将在本网站及时发布。请各潜在供应商及时关注相关信息。同时，依据相关法律法规规定，变更公告一旦发布即视为以书面形式通知所有潜在供应商。 </w:t>
      </w:r>
    </w:p>
    <w:p>
      <w:pPr>
        <w:tabs>
          <w:tab w:val="left" w:pos="9680"/>
        </w:tabs>
        <w:spacing w:line="480" w:lineRule="exact"/>
        <w:rPr>
          <w:sz w:val="24"/>
          <w:szCs w:val="28"/>
        </w:rPr>
      </w:pPr>
      <w:r>
        <w:rPr>
          <w:b/>
          <w:bCs/>
          <w:sz w:val="24"/>
        </w:rPr>
        <w:t> </w:t>
      </w:r>
      <w:r>
        <w:rPr>
          <w:rFonts w:hint="eastAsia"/>
          <w:b/>
          <w:bCs/>
          <w:sz w:val="24"/>
        </w:rPr>
        <w:t>特别提醒：除因不可抗力因素外、中标（成交）供应商随意放弃中标（成交）的暂停其参加金乡县政府采购活动六个月；中标（成交）公告期限届满无异议，无正当理由</w:t>
      </w:r>
      <w:r>
        <w:rPr>
          <w:b/>
          <w:bCs/>
          <w:sz w:val="24"/>
        </w:rPr>
        <w:t>5</w:t>
      </w:r>
      <w:r>
        <w:rPr>
          <w:rFonts w:hint="eastAsia"/>
          <w:b/>
          <w:bCs/>
          <w:sz w:val="24"/>
        </w:rPr>
        <w:t>个工作日内不领取中标（成交）通知书或领取中标（成交）通知书后无正当理由拒绝签订政府采购合同的暂停其参加金乡县政府采购活动十二个月；擅自变更合同，不履行合同的暂停其参与金乡县政府采购活动十二个月。</w:t>
      </w:r>
    </w:p>
    <w:p>
      <w:pPr>
        <w:pStyle w:val="8"/>
        <w:spacing w:before="3" w:line="480" w:lineRule="exact"/>
        <w:rPr>
          <w:sz w:val="29"/>
        </w:rPr>
      </w:pPr>
    </w:p>
    <w:p>
      <w:pPr>
        <w:pStyle w:val="8"/>
        <w:spacing w:before="66" w:line="480" w:lineRule="exact"/>
        <w:jc w:val="right"/>
      </w:pPr>
      <w:r>
        <w:t>发布人：</w:t>
      </w:r>
      <w:r>
        <w:rPr>
          <w:rFonts w:hint="eastAsia"/>
        </w:rPr>
        <w:t>中正信造价咨询有限公司</w:t>
      </w:r>
    </w:p>
    <w:p>
      <w:pPr>
        <w:spacing w:line="480" w:lineRule="exact"/>
        <w:jc w:val="right"/>
        <w:rPr>
          <w:highlight w:val="yellow"/>
        </w:rPr>
      </w:pPr>
      <w:r>
        <w:rPr>
          <w:rFonts w:hint="eastAsia"/>
          <w:sz w:val="24"/>
          <w:szCs w:val="24"/>
          <w:highlight w:val="yellow"/>
        </w:rPr>
        <w:t>201</w:t>
      </w:r>
      <w:r>
        <w:rPr>
          <w:rFonts w:hint="eastAsia"/>
          <w:sz w:val="24"/>
          <w:szCs w:val="24"/>
          <w:highlight w:val="yellow"/>
          <w:lang w:val="en-US"/>
        </w:rPr>
        <w:t>9</w:t>
      </w:r>
      <w:r>
        <w:rPr>
          <w:rFonts w:hint="eastAsia"/>
          <w:sz w:val="24"/>
          <w:szCs w:val="24"/>
          <w:highlight w:val="yellow"/>
        </w:rPr>
        <w:t>年</w:t>
      </w:r>
      <w:r>
        <w:rPr>
          <w:rFonts w:hint="eastAsia"/>
          <w:sz w:val="24"/>
          <w:szCs w:val="24"/>
          <w:highlight w:val="yellow"/>
          <w:lang w:val="en-US"/>
        </w:rPr>
        <w:t>4</w:t>
      </w:r>
      <w:r>
        <w:rPr>
          <w:rFonts w:hint="eastAsia"/>
          <w:sz w:val="24"/>
          <w:szCs w:val="24"/>
          <w:highlight w:val="yellow"/>
        </w:rPr>
        <w:t>月</w:t>
      </w:r>
      <w:r>
        <w:rPr>
          <w:rFonts w:hint="eastAsia"/>
          <w:sz w:val="24"/>
          <w:szCs w:val="24"/>
          <w:highlight w:val="yellow"/>
          <w:lang w:val="en-US"/>
        </w:rPr>
        <w:t xml:space="preserve"> </w:t>
      </w:r>
      <w:r>
        <w:rPr>
          <w:rFonts w:hint="eastAsia"/>
          <w:sz w:val="24"/>
          <w:szCs w:val="24"/>
          <w:highlight w:val="yellow"/>
        </w:rPr>
        <w:t>日</w:t>
      </w:r>
      <w:bookmarkStart w:id="27" w:name="_Toc30819_WPSOffice_Level1"/>
    </w:p>
    <w:p>
      <w:pPr>
        <w:pStyle w:val="2"/>
        <w:tabs>
          <w:tab w:val="left" w:pos="1555"/>
        </w:tabs>
        <w:ind w:left="442"/>
        <w:rPr>
          <w:lang w:val="en-US"/>
        </w:rPr>
      </w:pPr>
      <w:r>
        <w:rPr>
          <w:rFonts w:hint="eastAsia"/>
          <w:lang w:val="en-US"/>
        </w:rPr>
        <w:br w:type="page"/>
      </w:r>
    </w:p>
    <w:p>
      <w:pPr>
        <w:pStyle w:val="2"/>
        <w:tabs>
          <w:tab w:val="left" w:pos="1555"/>
        </w:tabs>
        <w:ind w:left="442"/>
      </w:pPr>
      <w:r>
        <w:rPr>
          <w:rFonts w:hint="eastAsia"/>
          <w:lang w:val="en-US"/>
        </w:rPr>
        <w:t xml:space="preserve">第二章 </w:t>
      </w:r>
      <w:r>
        <w:t>投标人须知</w:t>
      </w:r>
      <w:bookmarkEnd w:id="27"/>
    </w:p>
    <w:p>
      <w:pPr>
        <w:pStyle w:val="3"/>
        <w:spacing w:before="42" w:line="480" w:lineRule="exact"/>
        <w:ind w:left="0"/>
        <w:jc w:val="center"/>
      </w:pPr>
      <w:bookmarkStart w:id="28" w:name="_Toc31203_WPSOffice_Level2"/>
      <w:r>
        <w:rPr>
          <w:rFonts w:hint="eastAsia"/>
        </w:rPr>
        <w:t>一、前附表</w:t>
      </w:r>
      <w:bookmarkEnd w:id="28"/>
    </w:p>
    <w:tbl>
      <w:tblPr>
        <w:tblStyle w:val="19"/>
        <w:tblW w:w="10617" w:type="dxa"/>
        <w:tblInd w:w="-5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2716"/>
        <w:gridCol w:w="7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7" w:type="dxa"/>
            <w:vAlign w:val="center"/>
          </w:tcPr>
          <w:p>
            <w:pPr>
              <w:spacing w:line="480" w:lineRule="exact"/>
              <w:jc w:val="center"/>
              <w:rPr>
                <w:sz w:val="24"/>
                <w:szCs w:val="24"/>
              </w:rPr>
            </w:pPr>
            <w:r>
              <w:rPr>
                <w:rFonts w:hint="eastAsia"/>
                <w:sz w:val="24"/>
                <w:szCs w:val="24"/>
              </w:rPr>
              <w:t>序号</w:t>
            </w:r>
          </w:p>
        </w:tc>
        <w:tc>
          <w:tcPr>
            <w:tcW w:w="2716" w:type="dxa"/>
            <w:vAlign w:val="top"/>
          </w:tcPr>
          <w:p>
            <w:pPr>
              <w:spacing w:line="480" w:lineRule="exact"/>
              <w:jc w:val="center"/>
              <w:rPr>
                <w:sz w:val="24"/>
                <w:szCs w:val="24"/>
              </w:rPr>
            </w:pPr>
            <w:r>
              <w:rPr>
                <w:rFonts w:hint="eastAsia"/>
                <w:sz w:val="24"/>
                <w:szCs w:val="24"/>
              </w:rPr>
              <w:t>项目</w:t>
            </w:r>
          </w:p>
        </w:tc>
        <w:tc>
          <w:tcPr>
            <w:tcW w:w="7134" w:type="dxa"/>
            <w:vAlign w:val="top"/>
          </w:tcPr>
          <w:p>
            <w:pPr>
              <w:spacing w:line="480" w:lineRule="exact"/>
              <w:jc w:val="center"/>
              <w:rPr>
                <w:sz w:val="24"/>
                <w:szCs w:val="24"/>
              </w:rPr>
            </w:pPr>
            <w:r>
              <w:rPr>
                <w:rFonts w:hint="eastAsia"/>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7" w:type="dxa"/>
            <w:vAlign w:val="center"/>
          </w:tcPr>
          <w:p>
            <w:pPr>
              <w:spacing w:line="480" w:lineRule="exact"/>
              <w:jc w:val="center"/>
              <w:rPr>
                <w:sz w:val="24"/>
                <w:szCs w:val="24"/>
                <w:lang w:val="en-US"/>
              </w:rPr>
            </w:pPr>
            <w:r>
              <w:rPr>
                <w:rFonts w:hint="eastAsia"/>
                <w:sz w:val="24"/>
                <w:szCs w:val="24"/>
                <w:lang w:val="en-US"/>
              </w:rPr>
              <w:t>1</w:t>
            </w:r>
          </w:p>
        </w:tc>
        <w:tc>
          <w:tcPr>
            <w:tcW w:w="2716" w:type="dxa"/>
            <w:vAlign w:val="top"/>
          </w:tcPr>
          <w:p>
            <w:pPr>
              <w:spacing w:line="480" w:lineRule="exact"/>
              <w:jc w:val="center"/>
              <w:rPr>
                <w:sz w:val="24"/>
                <w:szCs w:val="24"/>
              </w:rPr>
            </w:pPr>
            <w:r>
              <w:rPr>
                <w:rFonts w:hint="eastAsia"/>
                <w:sz w:val="24"/>
              </w:rPr>
              <w:t>招标人</w:t>
            </w:r>
          </w:p>
        </w:tc>
        <w:tc>
          <w:tcPr>
            <w:tcW w:w="7134" w:type="dxa"/>
            <w:vAlign w:val="top"/>
          </w:tcPr>
          <w:p>
            <w:pPr>
              <w:spacing w:line="480" w:lineRule="exact"/>
              <w:jc w:val="both"/>
              <w:rPr>
                <w:sz w:val="24"/>
                <w:szCs w:val="24"/>
              </w:rPr>
            </w:pPr>
            <w:r>
              <w:rPr>
                <w:rFonts w:hint="eastAsia"/>
                <w:sz w:val="24"/>
                <w:szCs w:val="24"/>
              </w:rPr>
              <w:t>金乡县人民医院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7" w:type="dxa"/>
            <w:vAlign w:val="center"/>
          </w:tcPr>
          <w:p>
            <w:pPr>
              <w:spacing w:line="480" w:lineRule="exact"/>
              <w:jc w:val="center"/>
              <w:rPr>
                <w:sz w:val="24"/>
                <w:szCs w:val="24"/>
                <w:lang w:val="en-US"/>
              </w:rPr>
            </w:pPr>
            <w:r>
              <w:rPr>
                <w:rFonts w:hint="eastAsia"/>
                <w:sz w:val="24"/>
                <w:szCs w:val="24"/>
                <w:lang w:val="en-US"/>
              </w:rPr>
              <w:t>2</w:t>
            </w:r>
          </w:p>
        </w:tc>
        <w:tc>
          <w:tcPr>
            <w:tcW w:w="2716" w:type="dxa"/>
            <w:vAlign w:val="center"/>
          </w:tcPr>
          <w:p>
            <w:pPr>
              <w:spacing w:line="480" w:lineRule="exact"/>
              <w:jc w:val="center"/>
              <w:rPr>
                <w:color w:val="FF0000"/>
                <w:sz w:val="24"/>
                <w:szCs w:val="24"/>
              </w:rPr>
            </w:pPr>
            <w:r>
              <w:rPr>
                <w:rFonts w:hint="eastAsia"/>
                <w:sz w:val="24"/>
              </w:rPr>
              <w:t>招标代理机构</w:t>
            </w:r>
          </w:p>
        </w:tc>
        <w:tc>
          <w:tcPr>
            <w:tcW w:w="7134" w:type="dxa"/>
            <w:vAlign w:val="top"/>
          </w:tcPr>
          <w:p>
            <w:pPr>
              <w:spacing w:line="500" w:lineRule="exact"/>
              <w:jc w:val="both"/>
              <w:rPr>
                <w:sz w:val="24"/>
              </w:rPr>
            </w:pPr>
            <w:r>
              <w:rPr>
                <w:rFonts w:hint="eastAsia"/>
                <w:sz w:val="24"/>
              </w:rPr>
              <w:t xml:space="preserve">采购代理机构：中正信造价咨询有限公司 </w:t>
            </w:r>
          </w:p>
          <w:p>
            <w:pPr>
              <w:spacing w:line="500" w:lineRule="exact"/>
              <w:jc w:val="both"/>
              <w:rPr>
                <w:sz w:val="24"/>
              </w:rPr>
            </w:pPr>
            <w:r>
              <w:rPr>
                <w:rFonts w:hint="eastAsia"/>
                <w:sz w:val="24"/>
              </w:rPr>
              <w:t>地址：金乡县智慧产业园1019</w:t>
            </w:r>
          </w:p>
          <w:p>
            <w:pPr>
              <w:pStyle w:val="20"/>
              <w:spacing w:before="194"/>
              <w:jc w:val="both"/>
              <w:rPr>
                <w:sz w:val="24"/>
              </w:rPr>
            </w:pPr>
            <w:r>
              <w:rPr>
                <w:rFonts w:hint="eastAsia"/>
                <w:sz w:val="24"/>
              </w:rPr>
              <w:t xml:space="preserve">联系人：徐晨阳    </w:t>
            </w:r>
          </w:p>
          <w:p>
            <w:pPr>
              <w:spacing w:line="480" w:lineRule="exact"/>
              <w:jc w:val="both"/>
              <w:rPr>
                <w:color w:val="FF0000"/>
                <w:sz w:val="24"/>
                <w:szCs w:val="24"/>
                <w:lang w:val="en-US"/>
              </w:rPr>
            </w:pPr>
            <w:r>
              <w:rPr>
                <w:rFonts w:hint="eastAsia"/>
                <w:sz w:val="24"/>
              </w:rPr>
              <w:t>联系电话：</w:t>
            </w:r>
            <w:r>
              <w:rPr>
                <w:rFonts w:hint="eastAsia"/>
                <w:sz w:val="24"/>
                <w:lang w:val="en-US"/>
              </w:rPr>
              <w:t>0531-81283338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7" w:type="dxa"/>
            <w:vAlign w:val="center"/>
          </w:tcPr>
          <w:p>
            <w:pPr>
              <w:spacing w:line="480" w:lineRule="exact"/>
              <w:jc w:val="center"/>
              <w:rPr>
                <w:sz w:val="24"/>
                <w:szCs w:val="24"/>
                <w:lang w:val="en-US"/>
              </w:rPr>
            </w:pPr>
            <w:r>
              <w:rPr>
                <w:rFonts w:hint="eastAsia"/>
                <w:sz w:val="24"/>
                <w:szCs w:val="24"/>
                <w:lang w:val="en-US"/>
              </w:rPr>
              <w:t>3</w:t>
            </w:r>
          </w:p>
        </w:tc>
        <w:tc>
          <w:tcPr>
            <w:tcW w:w="2716" w:type="dxa"/>
            <w:vAlign w:val="center"/>
          </w:tcPr>
          <w:p>
            <w:pPr>
              <w:pStyle w:val="20"/>
              <w:ind w:firstLine="240" w:firstLineChars="100"/>
              <w:jc w:val="center"/>
              <w:rPr>
                <w:sz w:val="24"/>
                <w:szCs w:val="24"/>
              </w:rPr>
            </w:pPr>
            <w:r>
              <w:rPr>
                <w:rFonts w:hint="eastAsia"/>
                <w:sz w:val="24"/>
              </w:rPr>
              <w:t>项目名称</w:t>
            </w:r>
          </w:p>
        </w:tc>
        <w:tc>
          <w:tcPr>
            <w:tcW w:w="7134" w:type="dxa"/>
            <w:vAlign w:val="top"/>
          </w:tcPr>
          <w:p>
            <w:pPr>
              <w:spacing w:line="480" w:lineRule="exact"/>
              <w:jc w:val="both"/>
              <w:rPr>
                <w:sz w:val="24"/>
                <w:szCs w:val="24"/>
              </w:rPr>
            </w:pPr>
            <w:r>
              <w:rPr>
                <w:rFonts w:hint="eastAsia"/>
                <w:sz w:val="24"/>
              </w:rPr>
              <w:t>金乡县人民医院检验科及病理科外包检查项目（A包）三次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7" w:type="dxa"/>
            <w:vAlign w:val="center"/>
          </w:tcPr>
          <w:p>
            <w:pPr>
              <w:spacing w:line="480" w:lineRule="exact"/>
              <w:jc w:val="center"/>
              <w:rPr>
                <w:sz w:val="24"/>
                <w:szCs w:val="24"/>
                <w:lang w:val="en-US"/>
              </w:rPr>
            </w:pPr>
            <w:r>
              <w:rPr>
                <w:rFonts w:hint="eastAsia"/>
                <w:sz w:val="24"/>
                <w:szCs w:val="24"/>
                <w:lang w:val="en-US"/>
              </w:rPr>
              <w:t>4</w:t>
            </w:r>
          </w:p>
        </w:tc>
        <w:tc>
          <w:tcPr>
            <w:tcW w:w="2716" w:type="dxa"/>
            <w:vAlign w:val="center"/>
          </w:tcPr>
          <w:p>
            <w:pPr>
              <w:pStyle w:val="20"/>
              <w:ind w:firstLine="240" w:firstLineChars="100"/>
              <w:jc w:val="center"/>
              <w:rPr>
                <w:sz w:val="24"/>
                <w:szCs w:val="24"/>
              </w:rPr>
            </w:pPr>
            <w:r>
              <w:rPr>
                <w:rFonts w:hint="eastAsia"/>
                <w:sz w:val="24"/>
              </w:rPr>
              <w:t>资金来源</w:t>
            </w:r>
          </w:p>
        </w:tc>
        <w:tc>
          <w:tcPr>
            <w:tcW w:w="7134" w:type="dxa"/>
            <w:vAlign w:val="center"/>
          </w:tcPr>
          <w:p>
            <w:pPr>
              <w:pStyle w:val="20"/>
              <w:spacing w:before="194"/>
              <w:jc w:val="both"/>
              <w:rPr>
                <w:sz w:val="24"/>
                <w:szCs w:val="24"/>
              </w:rPr>
            </w:pPr>
            <w:r>
              <w:rPr>
                <w:rFonts w:hint="eastAsia"/>
                <w:sz w:val="24"/>
                <w:szCs w:val="24"/>
                <w:shd w:val="clear" w:color="auto" w:fill="FFFFFF"/>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7" w:type="dxa"/>
            <w:vAlign w:val="center"/>
          </w:tcPr>
          <w:p>
            <w:pPr>
              <w:spacing w:line="480" w:lineRule="exact"/>
              <w:jc w:val="center"/>
              <w:rPr>
                <w:sz w:val="24"/>
                <w:szCs w:val="24"/>
                <w:lang w:val="en-US"/>
              </w:rPr>
            </w:pPr>
            <w:r>
              <w:rPr>
                <w:rFonts w:hint="eastAsia"/>
                <w:sz w:val="24"/>
                <w:szCs w:val="24"/>
                <w:lang w:val="en-US"/>
              </w:rPr>
              <w:t>5</w:t>
            </w:r>
          </w:p>
        </w:tc>
        <w:tc>
          <w:tcPr>
            <w:tcW w:w="2716" w:type="dxa"/>
            <w:vAlign w:val="center"/>
          </w:tcPr>
          <w:p>
            <w:pPr>
              <w:pStyle w:val="20"/>
              <w:ind w:firstLine="240" w:firstLineChars="100"/>
              <w:jc w:val="center"/>
              <w:rPr>
                <w:sz w:val="24"/>
                <w:szCs w:val="24"/>
              </w:rPr>
            </w:pPr>
            <w:r>
              <w:rPr>
                <w:rFonts w:hint="eastAsia"/>
                <w:sz w:val="24"/>
              </w:rPr>
              <w:t>资金落实情况</w:t>
            </w:r>
          </w:p>
        </w:tc>
        <w:tc>
          <w:tcPr>
            <w:tcW w:w="7134" w:type="dxa"/>
            <w:vAlign w:val="center"/>
          </w:tcPr>
          <w:p>
            <w:pPr>
              <w:pStyle w:val="20"/>
              <w:spacing w:before="194"/>
              <w:jc w:val="both"/>
              <w:rPr>
                <w:sz w:val="24"/>
                <w:szCs w:val="24"/>
              </w:rPr>
            </w:pPr>
            <w:r>
              <w:rPr>
                <w:rFonts w:hint="eastAsia"/>
                <w:sz w:val="24"/>
                <w:szCs w:val="24"/>
                <w:shd w:val="clear" w:color="auto" w:fill="FFFFFF"/>
              </w:rPr>
              <w:t>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7" w:type="dxa"/>
            <w:vAlign w:val="center"/>
          </w:tcPr>
          <w:p>
            <w:pPr>
              <w:spacing w:line="480" w:lineRule="exact"/>
              <w:jc w:val="center"/>
              <w:rPr>
                <w:sz w:val="24"/>
                <w:szCs w:val="24"/>
                <w:lang w:val="en-US"/>
              </w:rPr>
            </w:pPr>
            <w:r>
              <w:rPr>
                <w:rFonts w:hint="eastAsia"/>
                <w:sz w:val="24"/>
                <w:szCs w:val="24"/>
                <w:lang w:val="en-US"/>
              </w:rPr>
              <w:t>6</w:t>
            </w:r>
          </w:p>
        </w:tc>
        <w:tc>
          <w:tcPr>
            <w:tcW w:w="2716" w:type="dxa"/>
            <w:vAlign w:val="center"/>
          </w:tcPr>
          <w:p>
            <w:pPr>
              <w:pStyle w:val="20"/>
              <w:ind w:firstLine="240" w:firstLineChars="100"/>
              <w:jc w:val="center"/>
              <w:rPr>
                <w:sz w:val="24"/>
                <w:szCs w:val="24"/>
              </w:rPr>
            </w:pPr>
            <w:r>
              <w:rPr>
                <w:rFonts w:hint="eastAsia"/>
                <w:sz w:val="24"/>
              </w:rPr>
              <w:t>招标范围</w:t>
            </w:r>
          </w:p>
        </w:tc>
        <w:tc>
          <w:tcPr>
            <w:tcW w:w="7134" w:type="dxa"/>
            <w:vAlign w:val="top"/>
          </w:tcPr>
          <w:p>
            <w:pPr>
              <w:spacing w:line="480" w:lineRule="exact"/>
              <w:jc w:val="both"/>
              <w:rPr>
                <w:sz w:val="24"/>
                <w:szCs w:val="24"/>
              </w:rPr>
            </w:pPr>
            <w:r>
              <w:rPr>
                <w:rFonts w:hint="eastAsia"/>
                <w:sz w:val="24"/>
                <w:szCs w:val="24"/>
                <w:lang w:val="en-US"/>
              </w:rPr>
              <w:t>检验科外包检查项目：医学检验相关项目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7" w:type="dxa"/>
            <w:vAlign w:val="center"/>
          </w:tcPr>
          <w:p>
            <w:pPr>
              <w:spacing w:line="480" w:lineRule="exact"/>
              <w:jc w:val="center"/>
              <w:rPr>
                <w:sz w:val="24"/>
                <w:szCs w:val="24"/>
                <w:lang w:val="en-US"/>
              </w:rPr>
            </w:pPr>
            <w:r>
              <w:rPr>
                <w:rFonts w:hint="eastAsia"/>
                <w:sz w:val="24"/>
                <w:szCs w:val="24"/>
                <w:lang w:val="en-US"/>
              </w:rPr>
              <w:t>7</w:t>
            </w:r>
          </w:p>
        </w:tc>
        <w:tc>
          <w:tcPr>
            <w:tcW w:w="2716" w:type="dxa"/>
            <w:vAlign w:val="center"/>
          </w:tcPr>
          <w:p>
            <w:pPr>
              <w:spacing w:line="480" w:lineRule="exact"/>
              <w:jc w:val="center"/>
              <w:rPr>
                <w:color w:val="FF0000"/>
                <w:sz w:val="24"/>
                <w:szCs w:val="24"/>
              </w:rPr>
            </w:pPr>
            <w:r>
              <w:rPr>
                <w:rFonts w:hint="eastAsia"/>
                <w:sz w:val="24"/>
              </w:rPr>
              <w:t>投标人资质条件</w:t>
            </w:r>
          </w:p>
        </w:tc>
        <w:tc>
          <w:tcPr>
            <w:tcW w:w="7134" w:type="dxa"/>
            <w:vAlign w:val="top"/>
          </w:tcPr>
          <w:p>
            <w:pPr>
              <w:pStyle w:val="13"/>
              <w:widowControl/>
              <w:shd w:val="clear" w:color="auto" w:fill="FFFFFF"/>
              <w:spacing w:line="400" w:lineRule="exact"/>
              <w:jc w:val="both"/>
            </w:pPr>
            <w:r>
              <w:rPr>
                <w:rFonts w:hint="eastAsia"/>
                <w:szCs w:val="24"/>
                <w:shd w:val="clear" w:color="auto" w:fill="FFFFFF"/>
              </w:rPr>
              <w:t>1.供应商须在中国境内注册，具有效的营业执照或具有独立法人资格，并满足招标文件要求的提供采购项目服务能力，有相当的技术力量、经济实力和良好信誉；</w:t>
            </w:r>
            <w:r>
              <w:rPr>
                <w:rStyle w:val="15"/>
                <w:rFonts w:hint="eastAsia"/>
                <w:szCs w:val="24"/>
                <w:shd w:val="clear" w:color="auto" w:fill="FFFFFF"/>
              </w:rPr>
              <w:t>有效营业执照具有相关经营范围；</w:t>
            </w:r>
          </w:p>
          <w:p>
            <w:pPr>
              <w:pStyle w:val="13"/>
              <w:widowControl/>
              <w:shd w:val="clear" w:color="auto" w:fill="FFFFFF"/>
              <w:spacing w:line="400" w:lineRule="exact"/>
              <w:jc w:val="both"/>
            </w:pPr>
            <w:r>
              <w:rPr>
                <w:rFonts w:hint="eastAsia"/>
                <w:szCs w:val="24"/>
                <w:shd w:val="clear" w:color="auto" w:fill="FFFFFF"/>
              </w:rPr>
              <w:t>2.供应商须满足《中华人民共和国政府采购法》第22条规定；</w:t>
            </w:r>
          </w:p>
          <w:p>
            <w:pPr>
              <w:pStyle w:val="13"/>
              <w:widowControl/>
              <w:shd w:val="clear" w:color="auto" w:fill="FFFFFF"/>
              <w:spacing w:line="400" w:lineRule="exact"/>
              <w:jc w:val="both"/>
              <w:rPr>
                <w:szCs w:val="24"/>
                <w:shd w:val="clear" w:color="auto" w:fill="FFFFFF"/>
              </w:rPr>
            </w:pPr>
            <w:r>
              <w:rPr>
                <w:rFonts w:hint="eastAsia"/>
                <w:szCs w:val="24"/>
                <w:shd w:val="clear" w:color="auto" w:fill="FFFFFF"/>
              </w:rPr>
              <w:t>3.资质要求：</w:t>
            </w:r>
          </w:p>
          <w:p>
            <w:pPr>
              <w:pStyle w:val="13"/>
              <w:widowControl/>
              <w:shd w:val="clear" w:color="auto" w:fill="FFFFFF"/>
              <w:spacing w:line="400" w:lineRule="exact"/>
              <w:jc w:val="both"/>
              <w:rPr>
                <w:szCs w:val="24"/>
                <w:shd w:val="clear" w:color="auto" w:fill="FFFFFF"/>
                <w:lang w:val="zh-CN"/>
              </w:rPr>
            </w:pPr>
            <w:r>
              <w:rPr>
                <w:rFonts w:hint="eastAsia"/>
                <w:szCs w:val="24"/>
                <w:shd w:val="clear" w:color="auto" w:fill="FFFFFF"/>
                <w:lang w:val="zh-CN"/>
              </w:rPr>
              <w:t>（</w:t>
            </w:r>
            <w:r>
              <w:rPr>
                <w:rFonts w:hint="eastAsia"/>
                <w:szCs w:val="24"/>
                <w:shd w:val="clear" w:color="auto" w:fill="FFFFFF"/>
              </w:rPr>
              <w:t>1</w:t>
            </w:r>
            <w:r>
              <w:rPr>
                <w:rFonts w:hint="eastAsia"/>
                <w:szCs w:val="24"/>
                <w:shd w:val="clear" w:color="auto" w:fill="FFFFFF"/>
                <w:lang w:val="zh-CN"/>
              </w:rPr>
              <w:t>）提供中华人民共和国医疗机构执业许可证，提供第三方医学实验室服务综合能力的相关资料。</w:t>
            </w:r>
          </w:p>
          <w:p>
            <w:pPr>
              <w:pStyle w:val="13"/>
              <w:widowControl/>
              <w:shd w:val="clear" w:color="auto" w:fill="FFFFFF"/>
              <w:spacing w:line="400" w:lineRule="exact"/>
              <w:jc w:val="both"/>
              <w:rPr>
                <w:szCs w:val="24"/>
                <w:shd w:val="clear" w:color="auto" w:fill="FFFFFF"/>
                <w:lang w:val="zh-CN"/>
              </w:rPr>
            </w:pPr>
            <w:r>
              <w:rPr>
                <w:rFonts w:hint="eastAsia"/>
                <w:szCs w:val="24"/>
                <w:shd w:val="clear" w:color="auto" w:fill="FFFFFF"/>
                <w:lang w:val="zh-CN"/>
              </w:rPr>
              <w:t>（</w:t>
            </w:r>
            <w:r>
              <w:rPr>
                <w:rFonts w:hint="eastAsia"/>
                <w:szCs w:val="24"/>
                <w:shd w:val="clear" w:color="auto" w:fill="FFFFFF"/>
              </w:rPr>
              <w:t>2</w:t>
            </w:r>
            <w:r>
              <w:rPr>
                <w:rFonts w:hint="eastAsia"/>
                <w:szCs w:val="24"/>
                <w:shd w:val="clear" w:color="auto" w:fill="FFFFFF"/>
                <w:lang w:val="zh-CN"/>
              </w:rPr>
              <w:t>）提供CAP</w:t>
            </w:r>
            <w:r>
              <w:rPr>
                <w:rFonts w:hint="eastAsia"/>
                <w:szCs w:val="24"/>
                <w:shd w:val="clear" w:color="auto" w:fill="FFFFFF"/>
              </w:rPr>
              <w:t>或</w:t>
            </w:r>
            <w:r>
              <w:rPr>
                <w:rFonts w:hint="eastAsia"/>
                <w:szCs w:val="24"/>
                <w:shd w:val="clear" w:color="auto" w:fill="FFFFFF"/>
                <w:lang w:val="zh-CN"/>
              </w:rPr>
              <w:t>ISO15189认可的第三方医学实验室证件；基因扩增项目有临床基因扩增检验实验室技术审核合格证。</w:t>
            </w:r>
          </w:p>
          <w:p>
            <w:pPr>
              <w:pStyle w:val="13"/>
              <w:widowControl/>
              <w:shd w:val="clear" w:color="auto" w:fill="FFFFFF"/>
              <w:spacing w:line="400" w:lineRule="exact"/>
              <w:jc w:val="both"/>
              <w:rPr>
                <w:szCs w:val="24"/>
                <w:shd w:val="clear" w:color="auto" w:fill="FFFFFF"/>
              </w:rPr>
            </w:pPr>
            <w:r>
              <w:rPr>
                <w:rFonts w:hint="eastAsia"/>
                <w:szCs w:val="24"/>
                <w:shd w:val="clear" w:color="auto" w:fill="FFFFFF"/>
              </w:rPr>
              <w:t>（3）投标单位需承诺给予医院提供及时优质的服务。</w:t>
            </w:r>
          </w:p>
          <w:p>
            <w:pPr>
              <w:pStyle w:val="13"/>
              <w:widowControl/>
              <w:shd w:val="clear" w:color="auto" w:fill="FFFFFF"/>
              <w:spacing w:line="400" w:lineRule="exact"/>
              <w:jc w:val="both"/>
              <w:rPr>
                <w:szCs w:val="24"/>
                <w:shd w:val="clear" w:color="auto" w:fill="FFFFFF"/>
              </w:rPr>
            </w:pPr>
            <w:r>
              <w:rPr>
                <w:rFonts w:hint="eastAsia"/>
                <w:szCs w:val="24"/>
                <w:shd w:val="clear" w:color="auto" w:fill="FFFFFF"/>
              </w:rPr>
              <w:t>（4）有完善的质量保证体系。</w:t>
            </w:r>
          </w:p>
          <w:p>
            <w:pPr>
              <w:pStyle w:val="13"/>
              <w:widowControl/>
              <w:shd w:val="clear" w:color="auto" w:fill="FFFFFF"/>
              <w:spacing w:line="400" w:lineRule="exact"/>
              <w:jc w:val="both"/>
            </w:pPr>
            <w:r>
              <w:rPr>
                <w:rFonts w:hint="eastAsia"/>
                <w:szCs w:val="24"/>
                <w:shd w:val="clear" w:color="auto" w:fill="FFFFFF"/>
              </w:rPr>
              <w:t>4. 开标之日起前三年内无不良信用记录（评标委员会通过“信用中国”及“中国政府采购网”查询）；</w:t>
            </w:r>
          </w:p>
          <w:p>
            <w:pPr>
              <w:pStyle w:val="13"/>
              <w:widowControl/>
              <w:shd w:val="clear" w:color="auto" w:fill="FFFFFF"/>
              <w:spacing w:line="400" w:lineRule="exact"/>
              <w:jc w:val="both"/>
            </w:pPr>
            <w:r>
              <w:rPr>
                <w:rFonts w:hint="eastAsia"/>
                <w:szCs w:val="24"/>
                <w:shd w:val="clear" w:color="auto" w:fill="FFFFFF"/>
              </w:rPr>
              <w:t>5. 遵守《中华人民共和国政府采购法》及相关法律、法规和规章；</w:t>
            </w:r>
          </w:p>
          <w:p>
            <w:pPr>
              <w:pStyle w:val="13"/>
              <w:widowControl/>
              <w:shd w:val="clear" w:color="auto" w:fill="FFFFFF"/>
              <w:spacing w:line="400" w:lineRule="exact"/>
              <w:jc w:val="both"/>
            </w:pPr>
            <w:r>
              <w:rPr>
                <w:rFonts w:hint="eastAsia"/>
                <w:szCs w:val="24"/>
                <w:shd w:val="clear" w:color="auto" w:fill="FFFFFF"/>
              </w:rPr>
              <w:t>6.一个供应商只能提交一个报价文件。如果供应商之间存在下列互为关联关系(国有控股公司除外)的情形之一的，不得同时参加本项目投标：</w:t>
            </w:r>
          </w:p>
          <w:p>
            <w:pPr>
              <w:pStyle w:val="13"/>
              <w:widowControl/>
              <w:shd w:val="clear" w:color="auto" w:fill="FFFFFF"/>
              <w:spacing w:line="400" w:lineRule="exact"/>
              <w:jc w:val="both"/>
            </w:pPr>
            <w:r>
              <w:rPr>
                <w:rFonts w:hint="eastAsia"/>
                <w:szCs w:val="24"/>
                <w:shd w:val="clear" w:color="auto" w:fill="FFFFFF"/>
              </w:rPr>
              <w:t>6.1法定代表人为同一人的两个及两个以上法人；</w:t>
            </w:r>
          </w:p>
          <w:p>
            <w:pPr>
              <w:pStyle w:val="13"/>
              <w:widowControl/>
              <w:shd w:val="clear" w:color="auto" w:fill="FFFFFF"/>
              <w:spacing w:line="400" w:lineRule="exact"/>
              <w:jc w:val="both"/>
            </w:pPr>
            <w:r>
              <w:rPr>
                <w:rFonts w:hint="eastAsia"/>
                <w:szCs w:val="24"/>
                <w:shd w:val="clear" w:color="auto" w:fill="FFFFFF"/>
              </w:rPr>
              <w:t>6.2 母公司、直接或间接持股50%及以上的被投资公司；</w:t>
            </w:r>
          </w:p>
          <w:p>
            <w:pPr>
              <w:pStyle w:val="13"/>
              <w:widowControl/>
              <w:shd w:val="clear" w:color="auto" w:fill="FFFFFF"/>
              <w:spacing w:line="400" w:lineRule="exact"/>
              <w:jc w:val="both"/>
            </w:pPr>
            <w:r>
              <w:rPr>
                <w:rFonts w:hint="eastAsia"/>
                <w:szCs w:val="24"/>
                <w:shd w:val="clear" w:color="auto" w:fill="FFFFFF"/>
              </w:rPr>
              <w:t>6.3 均为同一家母公司直接或间接持股50%及以上的被投资公司；</w:t>
            </w:r>
          </w:p>
          <w:p>
            <w:pPr>
              <w:pStyle w:val="13"/>
              <w:widowControl/>
              <w:shd w:val="clear" w:color="auto" w:fill="FFFFFF"/>
              <w:spacing w:line="400" w:lineRule="exact"/>
              <w:jc w:val="both"/>
            </w:pPr>
            <w:r>
              <w:rPr>
                <w:rFonts w:hint="eastAsia"/>
                <w:szCs w:val="24"/>
                <w:shd w:val="clear" w:color="auto" w:fill="FFFFFF"/>
              </w:rPr>
              <w:t>7. 本项目不接受联合体投标；</w:t>
            </w:r>
          </w:p>
          <w:p>
            <w:pPr>
              <w:spacing w:line="400" w:lineRule="exact"/>
              <w:jc w:val="both"/>
              <w:rPr>
                <w:color w:val="FF0000"/>
                <w:sz w:val="24"/>
                <w:szCs w:val="24"/>
              </w:rPr>
            </w:pPr>
            <w:r>
              <w:rPr>
                <w:rFonts w:hint="eastAsia"/>
                <w:sz w:val="24"/>
                <w:szCs w:val="24"/>
                <w:shd w:val="clear" w:color="auto" w:fill="FFFFFF"/>
              </w:rPr>
              <w:t>8. 本项目采用资格后审。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7" w:type="dxa"/>
            <w:vAlign w:val="top"/>
          </w:tcPr>
          <w:p>
            <w:pPr>
              <w:spacing w:line="480" w:lineRule="exact"/>
              <w:jc w:val="center"/>
              <w:rPr>
                <w:sz w:val="24"/>
                <w:szCs w:val="24"/>
                <w:lang w:val="en-US"/>
              </w:rPr>
            </w:pPr>
            <w:r>
              <w:rPr>
                <w:rFonts w:hint="eastAsia"/>
                <w:sz w:val="24"/>
                <w:szCs w:val="24"/>
                <w:lang w:val="en-US"/>
              </w:rPr>
              <w:t>8</w:t>
            </w:r>
          </w:p>
        </w:tc>
        <w:tc>
          <w:tcPr>
            <w:tcW w:w="2716" w:type="dxa"/>
            <w:vAlign w:val="top"/>
          </w:tcPr>
          <w:p>
            <w:pPr>
              <w:spacing w:line="480" w:lineRule="exact"/>
              <w:jc w:val="center"/>
              <w:rPr>
                <w:sz w:val="24"/>
                <w:szCs w:val="24"/>
              </w:rPr>
            </w:pPr>
            <w:r>
              <w:rPr>
                <w:rFonts w:hint="eastAsia"/>
                <w:sz w:val="24"/>
                <w:szCs w:val="24"/>
              </w:rPr>
              <w:t>服务周期</w:t>
            </w:r>
          </w:p>
        </w:tc>
        <w:tc>
          <w:tcPr>
            <w:tcW w:w="7134" w:type="dxa"/>
            <w:vAlign w:val="top"/>
          </w:tcPr>
          <w:p>
            <w:pPr>
              <w:spacing w:line="480" w:lineRule="exact"/>
              <w:jc w:val="both"/>
              <w:rPr>
                <w:sz w:val="24"/>
                <w:szCs w:val="24"/>
              </w:rPr>
            </w:pPr>
            <w:r>
              <w:rPr>
                <w:rFonts w:hint="eastAsia"/>
                <w:sz w:val="24"/>
                <w:szCs w:val="24"/>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7" w:type="dxa"/>
            <w:vAlign w:val="center"/>
          </w:tcPr>
          <w:p>
            <w:pPr>
              <w:spacing w:line="480" w:lineRule="exact"/>
              <w:jc w:val="center"/>
              <w:rPr>
                <w:sz w:val="24"/>
                <w:szCs w:val="24"/>
                <w:lang w:val="en-US"/>
              </w:rPr>
            </w:pPr>
            <w:r>
              <w:rPr>
                <w:rFonts w:hint="eastAsia"/>
                <w:sz w:val="24"/>
                <w:szCs w:val="24"/>
                <w:lang w:val="en-US"/>
              </w:rPr>
              <w:t>9</w:t>
            </w:r>
          </w:p>
        </w:tc>
        <w:tc>
          <w:tcPr>
            <w:tcW w:w="2716" w:type="dxa"/>
            <w:vAlign w:val="center"/>
          </w:tcPr>
          <w:p>
            <w:pPr>
              <w:spacing w:line="480" w:lineRule="exact"/>
              <w:jc w:val="center"/>
              <w:rPr>
                <w:color w:val="FF0000"/>
                <w:sz w:val="24"/>
                <w:szCs w:val="24"/>
              </w:rPr>
            </w:pPr>
            <w:r>
              <w:rPr>
                <w:sz w:val="24"/>
              </w:rPr>
              <w:t>上传投标文件时间</w:t>
            </w:r>
          </w:p>
        </w:tc>
        <w:tc>
          <w:tcPr>
            <w:tcW w:w="7134" w:type="dxa"/>
            <w:vAlign w:val="top"/>
          </w:tcPr>
          <w:p>
            <w:pPr>
              <w:pStyle w:val="20"/>
              <w:spacing w:before="160" w:line="360" w:lineRule="auto"/>
              <w:ind w:right="92"/>
              <w:jc w:val="both"/>
              <w:rPr>
                <w:color w:val="FF0000"/>
                <w:sz w:val="24"/>
                <w:szCs w:val="24"/>
              </w:rPr>
            </w:pPr>
            <w:r>
              <w:rPr>
                <w:sz w:val="24"/>
              </w:rPr>
              <w:t>所有投标文件应于</w:t>
            </w:r>
            <w:r>
              <w:rPr>
                <w:sz w:val="24"/>
                <w:highlight w:val="yellow"/>
              </w:rPr>
              <w:t>201</w:t>
            </w:r>
            <w:r>
              <w:rPr>
                <w:rFonts w:hint="eastAsia"/>
                <w:sz w:val="24"/>
                <w:highlight w:val="yellow"/>
              </w:rPr>
              <w:t>9</w:t>
            </w:r>
            <w:r>
              <w:rPr>
                <w:sz w:val="24"/>
                <w:highlight w:val="yellow"/>
              </w:rPr>
              <w:t>年</w:t>
            </w:r>
            <w:r>
              <w:rPr>
                <w:rFonts w:hint="eastAsia"/>
                <w:sz w:val="24"/>
                <w:highlight w:val="yellow"/>
                <w:lang w:val="en-US"/>
              </w:rPr>
              <w:t>3</w:t>
            </w:r>
            <w:r>
              <w:rPr>
                <w:sz w:val="24"/>
                <w:highlight w:val="yellow"/>
              </w:rPr>
              <w:t>月</w:t>
            </w:r>
            <w:r>
              <w:rPr>
                <w:rFonts w:hint="eastAsia"/>
                <w:sz w:val="24"/>
                <w:highlight w:val="yellow"/>
                <w:lang w:val="en-US"/>
              </w:rPr>
              <w:t>28</w:t>
            </w:r>
            <w:r>
              <w:rPr>
                <w:sz w:val="24"/>
                <w:highlight w:val="yellow"/>
              </w:rPr>
              <w:t>日</w:t>
            </w:r>
            <w:r>
              <w:rPr>
                <w:rFonts w:hint="eastAsia"/>
                <w:sz w:val="24"/>
                <w:highlight w:val="yellow"/>
                <w:lang w:val="en-US"/>
              </w:rPr>
              <w:t>14</w:t>
            </w:r>
            <w:r>
              <w:rPr>
                <w:sz w:val="24"/>
                <w:highlight w:val="yellow"/>
              </w:rPr>
              <w:t>时</w:t>
            </w:r>
            <w:r>
              <w:rPr>
                <w:rFonts w:hint="eastAsia"/>
                <w:sz w:val="24"/>
                <w:highlight w:val="yellow"/>
              </w:rPr>
              <w:t>30</w:t>
            </w:r>
            <w:r>
              <w:rPr>
                <w:spacing w:val="-1"/>
                <w:sz w:val="24"/>
                <w:highlight w:val="yellow"/>
              </w:rPr>
              <w:t>分(</w:t>
            </w:r>
            <w:r>
              <w:rPr>
                <w:spacing w:val="-1"/>
                <w:sz w:val="24"/>
              </w:rPr>
              <w:t>北京时间)之</w:t>
            </w:r>
            <w:r>
              <w:rPr>
                <w:spacing w:val="-6"/>
                <w:sz w:val="24"/>
              </w:rPr>
              <w:t>前上传到金乡县政府采购网站。</w:t>
            </w:r>
            <w:r>
              <w:rPr>
                <w:b/>
                <w:sz w:val="24"/>
              </w:rPr>
              <w:t>（</w:t>
            </w:r>
            <w:r>
              <w:rPr>
                <w:b/>
                <w:spacing w:val="-2"/>
                <w:sz w:val="24"/>
              </w:rPr>
              <w:t>未在规定时间内上传投标</w:t>
            </w:r>
            <w:r>
              <w:rPr>
                <w:b/>
                <w:sz w:val="24"/>
              </w:rPr>
              <w:t>文件电子文档或截止时间后上传的电子文档将不予公开唱价及评审）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67" w:type="dxa"/>
            <w:vAlign w:val="top"/>
          </w:tcPr>
          <w:p>
            <w:pPr>
              <w:spacing w:line="480" w:lineRule="exact"/>
              <w:jc w:val="center"/>
              <w:rPr>
                <w:sz w:val="24"/>
                <w:szCs w:val="24"/>
                <w:lang w:val="en-US"/>
              </w:rPr>
            </w:pPr>
            <w:r>
              <w:rPr>
                <w:rFonts w:hint="eastAsia"/>
                <w:sz w:val="24"/>
                <w:szCs w:val="24"/>
                <w:lang w:val="en-US"/>
              </w:rPr>
              <w:t>10</w:t>
            </w:r>
          </w:p>
        </w:tc>
        <w:tc>
          <w:tcPr>
            <w:tcW w:w="2716" w:type="dxa"/>
            <w:vAlign w:val="top"/>
          </w:tcPr>
          <w:p>
            <w:pPr>
              <w:spacing w:line="480" w:lineRule="exact"/>
              <w:jc w:val="center"/>
              <w:rPr>
                <w:color w:val="FF0000"/>
                <w:sz w:val="24"/>
                <w:szCs w:val="24"/>
              </w:rPr>
            </w:pPr>
            <w:r>
              <w:rPr>
                <w:b/>
                <w:sz w:val="24"/>
              </w:rPr>
              <w:t>递交纸质投标文件时间</w:t>
            </w:r>
          </w:p>
        </w:tc>
        <w:tc>
          <w:tcPr>
            <w:tcW w:w="7134" w:type="dxa"/>
            <w:vAlign w:val="center"/>
          </w:tcPr>
          <w:p>
            <w:pPr>
              <w:spacing w:line="480" w:lineRule="exact"/>
              <w:jc w:val="both"/>
              <w:rPr>
                <w:sz w:val="24"/>
                <w:szCs w:val="24"/>
              </w:rPr>
            </w:pPr>
            <w:r>
              <w:rPr>
                <w:sz w:val="24"/>
                <w:highlight w:val="yellow"/>
              </w:rPr>
              <w:t>201</w:t>
            </w:r>
            <w:r>
              <w:rPr>
                <w:rFonts w:hint="eastAsia"/>
                <w:sz w:val="24"/>
                <w:highlight w:val="yellow"/>
              </w:rPr>
              <w:t>9</w:t>
            </w:r>
            <w:r>
              <w:rPr>
                <w:spacing w:val="-40"/>
                <w:sz w:val="24"/>
                <w:highlight w:val="yellow"/>
              </w:rPr>
              <w:t xml:space="preserve">年 </w:t>
            </w:r>
            <w:r>
              <w:rPr>
                <w:rFonts w:hint="eastAsia"/>
                <w:sz w:val="24"/>
                <w:highlight w:val="yellow"/>
              </w:rPr>
              <w:t xml:space="preserve"> </w:t>
            </w:r>
            <w:r>
              <w:rPr>
                <w:rFonts w:hint="eastAsia"/>
                <w:sz w:val="24"/>
                <w:highlight w:val="yellow"/>
                <w:lang w:val="en-US"/>
              </w:rPr>
              <w:t>4</w:t>
            </w:r>
            <w:r>
              <w:rPr>
                <w:spacing w:val="-40"/>
                <w:sz w:val="24"/>
                <w:highlight w:val="yellow"/>
              </w:rPr>
              <w:t xml:space="preserve">月 </w:t>
            </w:r>
            <w:r>
              <w:rPr>
                <w:rFonts w:hint="eastAsia"/>
                <w:sz w:val="24"/>
                <w:highlight w:val="yellow"/>
                <w:lang w:val="en-US"/>
              </w:rPr>
              <w:t xml:space="preserve"> </w:t>
            </w:r>
            <w:r>
              <w:rPr>
                <w:rFonts w:hint="eastAsia"/>
                <w:sz w:val="24"/>
                <w:highlight w:val="yellow"/>
                <w:lang w:val="en-US" w:eastAsia="zh-CN"/>
              </w:rPr>
              <w:t xml:space="preserve"> </w:t>
            </w:r>
            <w:r>
              <w:rPr>
                <w:spacing w:val="-40"/>
                <w:sz w:val="24"/>
                <w:highlight w:val="yellow"/>
              </w:rPr>
              <w:t xml:space="preserve">日 </w:t>
            </w:r>
            <w:r>
              <w:rPr>
                <w:rFonts w:hint="eastAsia"/>
                <w:sz w:val="24"/>
                <w:highlight w:val="yellow"/>
                <w:lang w:val="en-US"/>
              </w:rPr>
              <w:t>13</w:t>
            </w:r>
            <w:r>
              <w:rPr>
                <w:rFonts w:hint="eastAsia"/>
                <w:spacing w:val="-40"/>
                <w:sz w:val="24"/>
                <w:highlight w:val="yellow"/>
              </w:rPr>
              <w:t>：</w:t>
            </w:r>
            <w:r>
              <w:rPr>
                <w:spacing w:val="-40"/>
                <w:sz w:val="24"/>
                <w:highlight w:val="yellow"/>
              </w:rPr>
              <w:t xml:space="preserve"> </w:t>
            </w:r>
            <w:r>
              <w:rPr>
                <w:rFonts w:hint="eastAsia"/>
                <w:spacing w:val="-40"/>
                <w:sz w:val="24"/>
                <w:highlight w:val="yellow"/>
                <w:lang w:val="en-US"/>
              </w:rPr>
              <w:t>:3</w:t>
            </w:r>
            <w:r>
              <w:rPr>
                <w:rFonts w:hint="eastAsia"/>
                <w:sz w:val="24"/>
                <w:highlight w:val="yellow"/>
              </w:rPr>
              <w:t>0</w:t>
            </w:r>
            <w:r>
              <w:rPr>
                <w:spacing w:val="-30"/>
                <w:sz w:val="24"/>
                <w:highlight w:val="yellow"/>
              </w:rPr>
              <w:t>分</w:t>
            </w:r>
            <w:r>
              <w:rPr>
                <w:rFonts w:hint="eastAsia"/>
                <w:spacing w:val="-30"/>
                <w:sz w:val="24"/>
                <w:highlight w:val="yellow"/>
              </w:rPr>
              <w:t xml:space="preserve"> </w:t>
            </w:r>
            <w:r>
              <w:rPr>
                <w:spacing w:val="-30"/>
                <w:sz w:val="24"/>
                <w:highlight w:val="yellow"/>
              </w:rPr>
              <w:t xml:space="preserve">至 </w:t>
            </w:r>
            <w:r>
              <w:rPr>
                <w:rFonts w:hint="eastAsia"/>
                <w:spacing w:val="-30"/>
                <w:sz w:val="24"/>
                <w:highlight w:val="yellow"/>
                <w:lang w:val="en-US"/>
              </w:rPr>
              <w:t>14</w:t>
            </w:r>
            <w:r>
              <w:rPr>
                <w:rFonts w:hint="eastAsia"/>
                <w:spacing w:val="-40"/>
                <w:sz w:val="24"/>
                <w:highlight w:val="yellow"/>
              </w:rPr>
              <w:t>：</w:t>
            </w:r>
            <w:r>
              <w:rPr>
                <w:rFonts w:hint="eastAsia"/>
                <w:spacing w:val="-40"/>
                <w:sz w:val="24"/>
                <w:highlight w:val="yellow"/>
                <w:lang w:val="en-US"/>
              </w:rPr>
              <w:t>:00</w:t>
            </w:r>
            <w:r>
              <w:rPr>
                <w:spacing w:val="-30"/>
                <w:sz w:val="24"/>
                <w:highlight w:val="yellow"/>
              </w:rPr>
              <w:t>分</w:t>
            </w:r>
            <w:r>
              <w:rPr>
                <w:sz w:val="24"/>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7" w:type="dxa"/>
            <w:vAlign w:val="top"/>
          </w:tcPr>
          <w:p>
            <w:pPr>
              <w:spacing w:line="480" w:lineRule="exact"/>
              <w:jc w:val="center"/>
              <w:rPr>
                <w:sz w:val="24"/>
                <w:szCs w:val="24"/>
                <w:lang w:val="en-US"/>
              </w:rPr>
            </w:pPr>
            <w:r>
              <w:rPr>
                <w:rFonts w:hint="eastAsia"/>
                <w:sz w:val="24"/>
                <w:szCs w:val="24"/>
                <w:lang w:val="en-US"/>
              </w:rPr>
              <w:t>11</w:t>
            </w:r>
          </w:p>
        </w:tc>
        <w:tc>
          <w:tcPr>
            <w:tcW w:w="2716" w:type="dxa"/>
            <w:vAlign w:val="top"/>
          </w:tcPr>
          <w:p>
            <w:pPr>
              <w:spacing w:line="480" w:lineRule="exact"/>
              <w:jc w:val="center"/>
              <w:rPr>
                <w:color w:val="FF0000"/>
                <w:sz w:val="24"/>
                <w:szCs w:val="24"/>
              </w:rPr>
            </w:pPr>
            <w:r>
              <w:rPr>
                <w:b/>
                <w:sz w:val="24"/>
              </w:rPr>
              <w:t>投标文件解密时间</w:t>
            </w:r>
          </w:p>
        </w:tc>
        <w:tc>
          <w:tcPr>
            <w:tcW w:w="7134" w:type="dxa"/>
            <w:vAlign w:val="top"/>
          </w:tcPr>
          <w:p>
            <w:pPr>
              <w:pStyle w:val="20"/>
              <w:spacing w:before="160" w:line="400" w:lineRule="exact"/>
              <w:jc w:val="both"/>
              <w:rPr>
                <w:sz w:val="24"/>
                <w:highlight w:val="yellow"/>
              </w:rPr>
            </w:pPr>
            <w:r>
              <w:rPr>
                <w:sz w:val="24"/>
                <w:highlight w:val="yellow"/>
              </w:rPr>
              <w:t>201</w:t>
            </w:r>
            <w:r>
              <w:rPr>
                <w:rFonts w:hint="eastAsia"/>
                <w:sz w:val="24"/>
                <w:highlight w:val="yellow"/>
              </w:rPr>
              <w:t>9</w:t>
            </w:r>
            <w:r>
              <w:rPr>
                <w:sz w:val="24"/>
                <w:highlight w:val="yellow"/>
              </w:rPr>
              <w:t>年</w:t>
            </w:r>
            <w:r>
              <w:rPr>
                <w:rFonts w:hint="eastAsia"/>
                <w:sz w:val="24"/>
                <w:highlight w:val="yellow"/>
                <w:lang w:val="en-US"/>
              </w:rPr>
              <w:t>4</w:t>
            </w:r>
            <w:r>
              <w:rPr>
                <w:sz w:val="24"/>
                <w:highlight w:val="yellow"/>
              </w:rPr>
              <w:t>月</w:t>
            </w:r>
            <w:r>
              <w:rPr>
                <w:rFonts w:hint="eastAsia"/>
                <w:sz w:val="24"/>
                <w:highlight w:val="yellow"/>
                <w:lang w:val="en-US"/>
              </w:rPr>
              <w:t xml:space="preserve">  </w:t>
            </w:r>
            <w:r>
              <w:rPr>
                <w:sz w:val="24"/>
                <w:highlight w:val="yellow"/>
              </w:rPr>
              <w:t>日</w:t>
            </w:r>
            <w:r>
              <w:rPr>
                <w:rFonts w:hint="eastAsia"/>
                <w:sz w:val="24"/>
                <w:highlight w:val="yellow"/>
                <w:lang w:val="en-US"/>
              </w:rPr>
              <w:t>14</w:t>
            </w:r>
            <w:r>
              <w:rPr>
                <w:rFonts w:hint="eastAsia"/>
                <w:sz w:val="24"/>
                <w:highlight w:val="yellow"/>
              </w:rPr>
              <w:t>：</w:t>
            </w:r>
            <w:r>
              <w:rPr>
                <w:rFonts w:hint="eastAsia"/>
                <w:sz w:val="24"/>
                <w:highlight w:val="yellow"/>
                <w:lang w:val="en-US"/>
              </w:rPr>
              <w:t>0</w:t>
            </w:r>
            <w:r>
              <w:rPr>
                <w:rFonts w:hint="eastAsia"/>
                <w:sz w:val="24"/>
                <w:highlight w:val="yellow"/>
              </w:rPr>
              <w:t>0</w:t>
            </w:r>
            <w:r>
              <w:rPr>
                <w:sz w:val="24"/>
                <w:highlight w:val="yellow"/>
              </w:rPr>
              <w:t>分</w:t>
            </w:r>
            <w:r>
              <w:rPr>
                <w:rFonts w:hint="eastAsia"/>
                <w:sz w:val="24"/>
                <w:highlight w:val="yellow"/>
                <w:lang w:val="en-US"/>
              </w:rPr>
              <w:t>:</w:t>
            </w:r>
            <w:r>
              <w:rPr>
                <w:sz w:val="24"/>
                <w:highlight w:val="yellow"/>
              </w:rPr>
              <w:t>（北京时间）</w:t>
            </w:r>
          </w:p>
          <w:p>
            <w:pPr>
              <w:pStyle w:val="20"/>
              <w:spacing w:line="400" w:lineRule="exact"/>
              <w:jc w:val="both"/>
              <w:rPr>
                <w:sz w:val="24"/>
                <w:szCs w:val="24"/>
              </w:rPr>
            </w:pPr>
            <w:r>
              <w:rPr>
                <w:rFonts w:hint="eastAsia"/>
                <w:sz w:val="24"/>
              </w:rPr>
              <w:t>（</w:t>
            </w:r>
            <w:r>
              <w:rPr>
                <w:sz w:val="24"/>
              </w:rPr>
              <w:t>因投标人自身原因未能解密的电子文档将不予公开唱价及评审）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7" w:type="dxa"/>
            <w:vAlign w:val="top"/>
          </w:tcPr>
          <w:p>
            <w:pPr>
              <w:spacing w:line="480" w:lineRule="exact"/>
              <w:jc w:val="center"/>
              <w:rPr>
                <w:sz w:val="24"/>
                <w:szCs w:val="24"/>
                <w:lang w:val="en-US"/>
              </w:rPr>
            </w:pPr>
            <w:r>
              <w:rPr>
                <w:rFonts w:hint="eastAsia"/>
                <w:sz w:val="24"/>
                <w:szCs w:val="24"/>
                <w:lang w:val="en-US"/>
              </w:rPr>
              <w:t>12</w:t>
            </w:r>
          </w:p>
        </w:tc>
        <w:tc>
          <w:tcPr>
            <w:tcW w:w="2716" w:type="dxa"/>
            <w:vAlign w:val="center"/>
          </w:tcPr>
          <w:p>
            <w:pPr>
              <w:spacing w:line="480" w:lineRule="exact"/>
              <w:jc w:val="center"/>
              <w:rPr>
                <w:color w:val="FF0000"/>
                <w:sz w:val="24"/>
                <w:szCs w:val="24"/>
              </w:rPr>
            </w:pPr>
            <w:r>
              <w:rPr>
                <w:sz w:val="24"/>
              </w:rPr>
              <w:t>投标保证金</w:t>
            </w:r>
          </w:p>
        </w:tc>
        <w:tc>
          <w:tcPr>
            <w:tcW w:w="7134" w:type="dxa"/>
            <w:vAlign w:val="top"/>
          </w:tcPr>
          <w:p>
            <w:pPr>
              <w:spacing w:line="400" w:lineRule="exact"/>
              <w:jc w:val="both"/>
              <w:rPr>
                <w:sz w:val="24"/>
                <w:szCs w:val="24"/>
              </w:rPr>
            </w:pPr>
            <w:r>
              <w:rPr>
                <w:sz w:val="24"/>
                <w:szCs w:val="24"/>
              </w:rPr>
              <w:t>投标保证金的金额：人民币</w:t>
            </w:r>
            <w:r>
              <w:rPr>
                <w:rFonts w:hint="eastAsia"/>
                <w:sz w:val="24"/>
                <w:szCs w:val="24"/>
              </w:rPr>
              <w:t>柒万</w:t>
            </w:r>
            <w:r>
              <w:rPr>
                <w:sz w:val="24"/>
                <w:szCs w:val="24"/>
              </w:rPr>
              <w:t>元整（¥</w:t>
            </w:r>
            <w:r>
              <w:rPr>
                <w:rFonts w:hint="eastAsia"/>
                <w:sz w:val="24"/>
                <w:szCs w:val="24"/>
                <w:lang w:val="en-US"/>
              </w:rPr>
              <w:t>7</w:t>
            </w:r>
            <w:r>
              <w:rPr>
                <w:sz w:val="24"/>
                <w:szCs w:val="24"/>
              </w:rPr>
              <w:t>0000.00元）</w:t>
            </w:r>
          </w:p>
          <w:p>
            <w:pPr>
              <w:spacing w:line="400" w:lineRule="exact"/>
              <w:jc w:val="both"/>
              <w:rPr>
                <w:sz w:val="24"/>
                <w:szCs w:val="24"/>
              </w:rPr>
            </w:pPr>
            <w:r>
              <w:rPr>
                <w:sz w:val="24"/>
                <w:szCs w:val="24"/>
              </w:rPr>
              <w:t>投标保证金的递交形式：电汇或网银转账(暂不支持超级网银)</w:t>
            </w:r>
          </w:p>
          <w:p>
            <w:pPr>
              <w:spacing w:line="400" w:lineRule="exact"/>
              <w:jc w:val="both"/>
              <w:rPr>
                <w:sz w:val="24"/>
                <w:szCs w:val="24"/>
              </w:rPr>
            </w:pPr>
            <w:r>
              <w:rPr>
                <w:sz w:val="24"/>
                <w:szCs w:val="24"/>
              </w:rPr>
              <w:t>开户行: 济宁银行股份有限公司金乡县支行帐户名：金乡县公共资源交易服务中心</w:t>
            </w:r>
          </w:p>
          <w:p>
            <w:pPr>
              <w:spacing w:line="400" w:lineRule="exact"/>
              <w:jc w:val="both"/>
              <w:rPr>
                <w:sz w:val="24"/>
                <w:szCs w:val="24"/>
              </w:rPr>
            </w:pPr>
            <w:r>
              <w:rPr>
                <w:sz w:val="24"/>
                <w:szCs w:val="24"/>
              </w:rPr>
              <w:t>帐</w:t>
            </w:r>
            <w:r>
              <w:rPr>
                <w:sz w:val="24"/>
                <w:szCs w:val="24"/>
              </w:rPr>
              <w:tab/>
            </w:r>
            <w:r>
              <w:rPr>
                <w:sz w:val="24"/>
                <w:szCs w:val="24"/>
              </w:rPr>
              <w:t>号：25011200900000076</w:t>
            </w:r>
          </w:p>
          <w:p>
            <w:pPr>
              <w:spacing w:line="400" w:lineRule="exact"/>
              <w:jc w:val="both"/>
              <w:rPr>
                <w:sz w:val="24"/>
                <w:szCs w:val="24"/>
              </w:rPr>
            </w:pPr>
            <w:r>
              <w:rPr>
                <w:sz w:val="24"/>
                <w:szCs w:val="24"/>
              </w:rPr>
              <w:t>投标人应于201</w:t>
            </w:r>
            <w:r>
              <w:rPr>
                <w:rFonts w:hint="eastAsia"/>
                <w:sz w:val="24"/>
                <w:szCs w:val="24"/>
                <w:lang w:val="en-US"/>
              </w:rPr>
              <w:t>9</w:t>
            </w:r>
            <w:r>
              <w:rPr>
                <w:sz w:val="24"/>
                <w:szCs w:val="24"/>
              </w:rPr>
              <w:t>年</w:t>
            </w:r>
            <w:r>
              <w:rPr>
                <w:rFonts w:hint="eastAsia"/>
                <w:sz w:val="24"/>
                <w:szCs w:val="24"/>
                <w:lang w:val="en-US"/>
              </w:rPr>
              <w:t>4</w:t>
            </w:r>
            <w:r>
              <w:rPr>
                <w:sz w:val="24"/>
                <w:szCs w:val="24"/>
              </w:rPr>
              <w:t>月</w:t>
            </w:r>
            <w:r>
              <w:rPr>
                <w:rFonts w:hint="eastAsia"/>
                <w:sz w:val="24"/>
                <w:szCs w:val="24"/>
                <w:lang w:val="en-US"/>
              </w:rPr>
              <w:t xml:space="preserve">  </w:t>
            </w:r>
            <w:r>
              <w:rPr>
                <w:sz w:val="24"/>
                <w:szCs w:val="24"/>
              </w:rPr>
              <w:t>日17时00分前（以到账时间为准） 从投标人的基本账户以实时电汇或网银转账的方式，汇至金乡县公共资源交易服务中心专用账户，不接受其他形式。汇款单位必须与投标人一致，并应在电汇或网银转账时注明本次招标的项目名称，否则，视为投标担保无效。</w:t>
            </w:r>
          </w:p>
          <w:p>
            <w:pPr>
              <w:spacing w:line="400" w:lineRule="exact"/>
              <w:jc w:val="both"/>
              <w:rPr>
                <w:sz w:val="24"/>
                <w:szCs w:val="24"/>
              </w:rPr>
            </w:pPr>
            <w:r>
              <w:rPr>
                <w:sz w:val="24"/>
                <w:szCs w:val="24"/>
              </w:rPr>
              <w:t>开标前凭汇款凭据及加盖公章的基本账户开户许可证复印</w:t>
            </w:r>
          </w:p>
          <w:p>
            <w:pPr>
              <w:spacing w:line="400" w:lineRule="exact"/>
              <w:jc w:val="both"/>
              <w:rPr>
                <w:sz w:val="24"/>
                <w:szCs w:val="24"/>
              </w:rPr>
            </w:pPr>
            <w:r>
              <w:rPr>
                <w:sz w:val="24"/>
                <w:szCs w:val="24"/>
              </w:rPr>
              <w:t>件至金乡县公共资源交易服务中心财务科换取收据，否则投标文件不予受理。</w:t>
            </w:r>
          </w:p>
          <w:p>
            <w:pPr>
              <w:spacing w:line="400" w:lineRule="exact"/>
              <w:jc w:val="both"/>
              <w:rPr>
                <w:sz w:val="24"/>
                <w:szCs w:val="24"/>
              </w:rPr>
            </w:pPr>
            <w:r>
              <w:rPr>
                <w:sz w:val="24"/>
                <w:szCs w:val="24"/>
              </w:rPr>
              <w:t>经查实投标人有弄虚作假行为的，其投标保证金不予退还。保证金退还方式：</w:t>
            </w:r>
          </w:p>
          <w:p>
            <w:pPr>
              <w:spacing w:line="400" w:lineRule="exact"/>
              <w:jc w:val="both"/>
              <w:rPr>
                <w:sz w:val="24"/>
                <w:szCs w:val="24"/>
              </w:rPr>
            </w:pPr>
            <w:r>
              <w:rPr>
                <w:sz w:val="24"/>
                <w:szCs w:val="24"/>
              </w:rPr>
              <w:t>投标保证金凭公共资源交易服务中心开具的收据，退还至投标人的基本账户，退款产生的银行手续费用由投标人承担。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7" w:type="dxa"/>
            <w:vAlign w:val="top"/>
          </w:tcPr>
          <w:p>
            <w:pPr>
              <w:spacing w:line="480" w:lineRule="exact"/>
              <w:jc w:val="center"/>
              <w:rPr>
                <w:sz w:val="24"/>
                <w:szCs w:val="24"/>
                <w:lang w:val="en-US"/>
              </w:rPr>
            </w:pPr>
            <w:r>
              <w:rPr>
                <w:rFonts w:hint="eastAsia"/>
                <w:sz w:val="24"/>
                <w:szCs w:val="24"/>
                <w:lang w:val="en-US"/>
              </w:rPr>
              <w:t>13</w:t>
            </w:r>
          </w:p>
        </w:tc>
        <w:tc>
          <w:tcPr>
            <w:tcW w:w="2716" w:type="dxa"/>
            <w:vAlign w:val="center"/>
          </w:tcPr>
          <w:p>
            <w:pPr>
              <w:spacing w:line="480" w:lineRule="exact"/>
              <w:jc w:val="center"/>
              <w:rPr>
                <w:color w:val="FF0000"/>
                <w:sz w:val="24"/>
                <w:szCs w:val="24"/>
              </w:rPr>
            </w:pPr>
            <w:r>
              <w:rPr>
                <w:sz w:val="24"/>
              </w:rPr>
              <w:t>招标答疑</w:t>
            </w:r>
          </w:p>
        </w:tc>
        <w:tc>
          <w:tcPr>
            <w:tcW w:w="7134" w:type="dxa"/>
            <w:vAlign w:val="top"/>
          </w:tcPr>
          <w:p>
            <w:pPr>
              <w:spacing w:line="400" w:lineRule="exact"/>
              <w:jc w:val="both"/>
              <w:rPr>
                <w:color w:val="FF0000"/>
                <w:sz w:val="24"/>
                <w:szCs w:val="24"/>
              </w:rPr>
            </w:pPr>
            <w:r>
              <w:rPr>
                <w:sz w:val="24"/>
              </w:rPr>
              <w:t>投标人须在递交投标文件截止之日 15 天前将要求答疑的</w:t>
            </w:r>
            <w:r>
              <w:rPr>
                <w:spacing w:val="-5"/>
                <w:sz w:val="24"/>
              </w:rPr>
              <w:t>问题以书面形式提交招标代理机构，招标代理机构与招标人</w:t>
            </w:r>
            <w:r>
              <w:rPr>
                <w:sz w:val="24"/>
              </w:rPr>
              <w:t>将作出澄清和解答，并把书面答复发给所有投标人。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7" w:type="dxa"/>
            <w:vAlign w:val="top"/>
          </w:tcPr>
          <w:p>
            <w:pPr>
              <w:spacing w:line="480" w:lineRule="exact"/>
              <w:jc w:val="center"/>
              <w:rPr>
                <w:sz w:val="24"/>
                <w:szCs w:val="24"/>
                <w:lang w:val="en-US"/>
              </w:rPr>
            </w:pPr>
            <w:r>
              <w:rPr>
                <w:rFonts w:hint="eastAsia"/>
                <w:sz w:val="24"/>
                <w:szCs w:val="24"/>
                <w:lang w:val="en-US"/>
              </w:rPr>
              <w:t>14</w:t>
            </w:r>
          </w:p>
        </w:tc>
        <w:tc>
          <w:tcPr>
            <w:tcW w:w="2716" w:type="dxa"/>
            <w:vAlign w:val="top"/>
          </w:tcPr>
          <w:p>
            <w:pPr>
              <w:spacing w:line="480" w:lineRule="exact"/>
              <w:jc w:val="center"/>
              <w:rPr>
                <w:sz w:val="24"/>
                <w:szCs w:val="24"/>
              </w:rPr>
            </w:pPr>
            <w:r>
              <w:rPr>
                <w:sz w:val="24"/>
                <w:szCs w:val="24"/>
              </w:rPr>
              <w:t>近</w:t>
            </w:r>
            <w:r>
              <w:rPr>
                <w:rFonts w:hint="eastAsia"/>
                <w:sz w:val="24"/>
                <w:szCs w:val="24"/>
              </w:rPr>
              <w:t>三</w:t>
            </w:r>
            <w:r>
              <w:rPr>
                <w:sz w:val="24"/>
                <w:szCs w:val="24"/>
              </w:rPr>
              <w:t>年财务状况的</w:t>
            </w:r>
          </w:p>
          <w:p>
            <w:pPr>
              <w:spacing w:line="480" w:lineRule="exact"/>
              <w:jc w:val="center"/>
              <w:rPr>
                <w:color w:val="FF0000"/>
                <w:sz w:val="24"/>
                <w:szCs w:val="24"/>
              </w:rPr>
            </w:pPr>
            <w:r>
              <w:rPr>
                <w:sz w:val="24"/>
                <w:szCs w:val="24"/>
              </w:rPr>
              <w:t>年份要求</w:t>
            </w:r>
          </w:p>
        </w:tc>
        <w:tc>
          <w:tcPr>
            <w:tcW w:w="7134" w:type="dxa"/>
            <w:vAlign w:val="center"/>
          </w:tcPr>
          <w:p>
            <w:pPr>
              <w:spacing w:line="480" w:lineRule="exact"/>
              <w:jc w:val="both"/>
              <w:rPr>
                <w:color w:val="FF0000"/>
                <w:sz w:val="24"/>
                <w:szCs w:val="24"/>
              </w:rPr>
            </w:pPr>
            <w:r>
              <w:rPr>
                <w:color w:val="FF0000"/>
                <w:sz w:val="24"/>
              </w:rPr>
              <w:t>201</w:t>
            </w:r>
            <w:r>
              <w:rPr>
                <w:rFonts w:hint="eastAsia"/>
                <w:color w:val="FF0000"/>
                <w:sz w:val="24"/>
                <w:lang w:val="en-US"/>
              </w:rPr>
              <w:t>5</w:t>
            </w:r>
            <w:r>
              <w:rPr>
                <w:color w:val="FF0000"/>
                <w:sz w:val="24"/>
              </w:rPr>
              <w:t>年度、201</w:t>
            </w:r>
            <w:r>
              <w:rPr>
                <w:rFonts w:hint="eastAsia"/>
                <w:color w:val="FF0000"/>
                <w:sz w:val="24"/>
                <w:lang w:val="en-US"/>
              </w:rPr>
              <w:t>6</w:t>
            </w:r>
            <w:r>
              <w:rPr>
                <w:color w:val="FF0000"/>
                <w:sz w:val="24"/>
              </w:rPr>
              <w:t>年度、201</w:t>
            </w:r>
            <w:r>
              <w:rPr>
                <w:rFonts w:hint="eastAsia"/>
                <w:color w:val="FF0000"/>
                <w:sz w:val="24"/>
                <w:lang w:val="en-US"/>
              </w:rPr>
              <w:t>7</w:t>
            </w:r>
            <w:r>
              <w:rPr>
                <w:color w:val="FF0000"/>
                <w:sz w:val="24"/>
              </w:rPr>
              <w:t>年度</w:t>
            </w:r>
            <w:r>
              <w:rPr>
                <w:sz w:val="24"/>
              </w:rPr>
              <w:t>（新成立公司以成立年限为准）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7" w:type="dxa"/>
            <w:vAlign w:val="top"/>
          </w:tcPr>
          <w:p>
            <w:pPr>
              <w:spacing w:line="480" w:lineRule="exact"/>
              <w:jc w:val="center"/>
              <w:rPr>
                <w:sz w:val="24"/>
                <w:szCs w:val="24"/>
                <w:lang w:val="en-US"/>
              </w:rPr>
            </w:pPr>
            <w:r>
              <w:rPr>
                <w:rFonts w:hint="eastAsia"/>
                <w:sz w:val="24"/>
                <w:szCs w:val="24"/>
                <w:lang w:val="en-US"/>
              </w:rPr>
              <w:t>15</w:t>
            </w:r>
          </w:p>
        </w:tc>
        <w:tc>
          <w:tcPr>
            <w:tcW w:w="2716" w:type="dxa"/>
            <w:vAlign w:val="top"/>
          </w:tcPr>
          <w:p>
            <w:pPr>
              <w:spacing w:line="480" w:lineRule="exact"/>
              <w:jc w:val="center"/>
              <w:rPr>
                <w:color w:val="FF0000"/>
                <w:sz w:val="24"/>
                <w:szCs w:val="24"/>
              </w:rPr>
            </w:pPr>
            <w:r>
              <w:rPr>
                <w:sz w:val="24"/>
              </w:rPr>
              <w:t>是否允许递交备选投标方案</w:t>
            </w:r>
          </w:p>
        </w:tc>
        <w:tc>
          <w:tcPr>
            <w:tcW w:w="7134" w:type="dxa"/>
            <w:vAlign w:val="center"/>
          </w:tcPr>
          <w:p>
            <w:pPr>
              <w:spacing w:line="480" w:lineRule="exact"/>
              <w:jc w:val="both"/>
              <w:rPr>
                <w:color w:val="FF0000"/>
                <w:sz w:val="24"/>
                <w:szCs w:val="24"/>
              </w:rPr>
            </w:pPr>
            <w:r>
              <w:rPr>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7" w:type="dxa"/>
            <w:vAlign w:val="top"/>
          </w:tcPr>
          <w:p>
            <w:pPr>
              <w:spacing w:line="480" w:lineRule="exact"/>
              <w:jc w:val="center"/>
              <w:rPr>
                <w:sz w:val="24"/>
                <w:szCs w:val="24"/>
                <w:lang w:val="en-US"/>
              </w:rPr>
            </w:pPr>
            <w:r>
              <w:rPr>
                <w:rFonts w:hint="eastAsia"/>
                <w:sz w:val="24"/>
                <w:szCs w:val="24"/>
                <w:lang w:val="en-US"/>
              </w:rPr>
              <w:t>16</w:t>
            </w:r>
          </w:p>
        </w:tc>
        <w:tc>
          <w:tcPr>
            <w:tcW w:w="2716" w:type="dxa"/>
            <w:vAlign w:val="top"/>
          </w:tcPr>
          <w:p>
            <w:pPr>
              <w:spacing w:line="480" w:lineRule="exact"/>
              <w:jc w:val="center"/>
              <w:rPr>
                <w:color w:val="FF0000"/>
                <w:sz w:val="24"/>
                <w:szCs w:val="24"/>
              </w:rPr>
            </w:pPr>
            <w:r>
              <w:rPr>
                <w:sz w:val="24"/>
              </w:rPr>
              <w:t>签字或盖章要求</w:t>
            </w:r>
          </w:p>
        </w:tc>
        <w:tc>
          <w:tcPr>
            <w:tcW w:w="7134" w:type="dxa"/>
            <w:vAlign w:val="top"/>
          </w:tcPr>
          <w:p>
            <w:pPr>
              <w:spacing w:line="480" w:lineRule="exact"/>
              <w:jc w:val="both"/>
              <w:rPr>
                <w:color w:val="FF0000"/>
                <w:sz w:val="24"/>
                <w:szCs w:val="24"/>
              </w:rPr>
            </w:pPr>
            <w:r>
              <w:rPr>
                <w:sz w:val="24"/>
              </w:rPr>
              <w:t>按投标人须知要求，凡要求签字盖章的地方均应签字盖章。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7" w:type="dxa"/>
            <w:vAlign w:val="top"/>
          </w:tcPr>
          <w:p>
            <w:pPr>
              <w:spacing w:line="480" w:lineRule="exact"/>
              <w:jc w:val="center"/>
              <w:rPr>
                <w:sz w:val="24"/>
                <w:szCs w:val="24"/>
                <w:lang w:val="en-US"/>
              </w:rPr>
            </w:pPr>
            <w:r>
              <w:rPr>
                <w:rFonts w:hint="eastAsia"/>
                <w:sz w:val="24"/>
                <w:szCs w:val="24"/>
                <w:lang w:val="en-US"/>
              </w:rPr>
              <w:t>17</w:t>
            </w:r>
          </w:p>
        </w:tc>
        <w:tc>
          <w:tcPr>
            <w:tcW w:w="2716" w:type="dxa"/>
            <w:vAlign w:val="center"/>
          </w:tcPr>
          <w:p>
            <w:pPr>
              <w:spacing w:line="480" w:lineRule="exact"/>
              <w:jc w:val="center"/>
              <w:rPr>
                <w:color w:val="FF0000"/>
                <w:sz w:val="24"/>
                <w:szCs w:val="24"/>
              </w:rPr>
            </w:pPr>
            <w:r>
              <w:rPr>
                <w:sz w:val="24"/>
              </w:rPr>
              <w:t>投标文件份数</w:t>
            </w:r>
          </w:p>
        </w:tc>
        <w:tc>
          <w:tcPr>
            <w:tcW w:w="7134" w:type="dxa"/>
            <w:vAlign w:val="top"/>
          </w:tcPr>
          <w:p>
            <w:pPr>
              <w:spacing w:line="480" w:lineRule="exact"/>
              <w:jc w:val="both"/>
              <w:rPr>
                <w:color w:val="FF0000"/>
                <w:sz w:val="24"/>
                <w:szCs w:val="24"/>
              </w:rPr>
            </w:pPr>
            <w:r>
              <w:rPr>
                <w:spacing w:val="-7"/>
                <w:sz w:val="24"/>
              </w:rPr>
              <w:t>正本一份副本五份，统一封装。 唱标单一式三份单独密封。</w:t>
            </w:r>
            <w:r>
              <w:rPr>
                <w:rFonts w:hint="eastAsia"/>
                <w:sz w:val="24"/>
              </w:rPr>
              <w:t>各投标人应在递交纸质版投标文件的同时，递交电子版投标文件一份（U盘存储，Word可调式格式,方便上传业绩），单独密封。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67" w:type="dxa"/>
            <w:vAlign w:val="top"/>
          </w:tcPr>
          <w:p>
            <w:pPr>
              <w:spacing w:line="480" w:lineRule="exact"/>
              <w:jc w:val="center"/>
              <w:rPr>
                <w:sz w:val="24"/>
                <w:szCs w:val="24"/>
                <w:lang w:val="en-US"/>
              </w:rPr>
            </w:pPr>
            <w:r>
              <w:rPr>
                <w:rFonts w:hint="eastAsia"/>
                <w:sz w:val="24"/>
                <w:szCs w:val="24"/>
                <w:lang w:val="en-US"/>
              </w:rPr>
              <w:t>18</w:t>
            </w:r>
          </w:p>
        </w:tc>
        <w:tc>
          <w:tcPr>
            <w:tcW w:w="2716" w:type="dxa"/>
            <w:vAlign w:val="center"/>
          </w:tcPr>
          <w:p>
            <w:pPr>
              <w:spacing w:line="480" w:lineRule="exact"/>
              <w:jc w:val="center"/>
              <w:rPr>
                <w:color w:val="FF0000"/>
                <w:sz w:val="24"/>
                <w:szCs w:val="24"/>
              </w:rPr>
            </w:pPr>
            <w:r>
              <w:rPr>
                <w:sz w:val="24"/>
              </w:rPr>
              <w:t>装订要求</w:t>
            </w:r>
          </w:p>
        </w:tc>
        <w:tc>
          <w:tcPr>
            <w:tcW w:w="7134" w:type="dxa"/>
            <w:vAlign w:val="top"/>
          </w:tcPr>
          <w:p>
            <w:pPr>
              <w:pStyle w:val="20"/>
              <w:spacing w:line="400" w:lineRule="exact"/>
              <w:jc w:val="both"/>
              <w:rPr>
                <w:color w:val="FF0000"/>
                <w:sz w:val="24"/>
                <w:szCs w:val="24"/>
              </w:rPr>
            </w:pPr>
            <w:r>
              <w:rPr>
                <w:b/>
                <w:sz w:val="24"/>
              </w:rPr>
              <w:t>胶装，并按顺序编写页码，外形平面尺寸为国际A4纸型，不能活页装订且不允许换页，否则按无效标处理。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7" w:hRule="atLeast"/>
        </w:trPr>
        <w:tc>
          <w:tcPr>
            <w:tcW w:w="767" w:type="dxa"/>
            <w:vAlign w:val="top"/>
          </w:tcPr>
          <w:p>
            <w:pPr>
              <w:spacing w:line="480" w:lineRule="exact"/>
              <w:jc w:val="center"/>
              <w:rPr>
                <w:sz w:val="24"/>
                <w:szCs w:val="24"/>
                <w:lang w:val="en-US"/>
              </w:rPr>
            </w:pPr>
            <w:r>
              <w:rPr>
                <w:rFonts w:hint="eastAsia"/>
                <w:sz w:val="24"/>
                <w:szCs w:val="24"/>
                <w:lang w:val="en-US"/>
              </w:rPr>
              <w:t>19</w:t>
            </w:r>
          </w:p>
        </w:tc>
        <w:tc>
          <w:tcPr>
            <w:tcW w:w="2716" w:type="dxa"/>
            <w:vAlign w:val="center"/>
          </w:tcPr>
          <w:p>
            <w:pPr>
              <w:spacing w:line="480" w:lineRule="exact"/>
              <w:jc w:val="center"/>
              <w:rPr>
                <w:color w:val="FF0000"/>
                <w:sz w:val="24"/>
                <w:szCs w:val="24"/>
              </w:rPr>
            </w:pPr>
            <w:r>
              <w:rPr>
                <w:sz w:val="24"/>
              </w:rPr>
              <w:t>密封及密封套标注</w:t>
            </w:r>
          </w:p>
        </w:tc>
        <w:tc>
          <w:tcPr>
            <w:tcW w:w="7134" w:type="dxa"/>
            <w:vAlign w:val="center"/>
          </w:tcPr>
          <w:p>
            <w:pPr>
              <w:pStyle w:val="20"/>
              <w:spacing w:line="400" w:lineRule="exact"/>
              <w:ind w:right="96"/>
              <w:jc w:val="both"/>
              <w:rPr>
                <w:b/>
                <w:sz w:val="24"/>
              </w:rPr>
            </w:pPr>
            <w:r>
              <w:rPr>
                <w:b/>
                <w:sz w:val="24"/>
              </w:rPr>
              <w:t>1、密封套应标注项目名称、投标人名称等，密封套封口处应加盖投标单位公章（详见附件十二）。</w:t>
            </w:r>
          </w:p>
          <w:p>
            <w:pPr>
              <w:pStyle w:val="20"/>
              <w:spacing w:line="400" w:lineRule="exact"/>
              <w:jc w:val="both"/>
              <w:rPr>
                <w:b/>
                <w:sz w:val="24"/>
              </w:rPr>
            </w:pPr>
            <w:r>
              <w:rPr>
                <w:b/>
                <w:sz w:val="24"/>
              </w:rPr>
              <w:t>2、正副本密封为一包。</w:t>
            </w:r>
          </w:p>
          <w:p>
            <w:pPr>
              <w:spacing w:line="400" w:lineRule="exact"/>
              <w:jc w:val="both"/>
              <w:rPr>
                <w:color w:val="FF0000"/>
                <w:sz w:val="24"/>
                <w:szCs w:val="24"/>
              </w:rPr>
            </w:pPr>
            <w:r>
              <w:rPr>
                <w:b/>
                <w:sz w:val="24"/>
              </w:rPr>
              <w:t>3、未按照上述要求密封及在密封套标注的，其投标文件将被拒绝。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67" w:type="dxa"/>
            <w:vAlign w:val="top"/>
          </w:tcPr>
          <w:p>
            <w:pPr>
              <w:spacing w:line="480" w:lineRule="exact"/>
              <w:jc w:val="center"/>
              <w:rPr>
                <w:sz w:val="24"/>
                <w:szCs w:val="24"/>
                <w:lang w:val="en-US"/>
              </w:rPr>
            </w:pPr>
            <w:r>
              <w:rPr>
                <w:rFonts w:hint="eastAsia"/>
                <w:sz w:val="24"/>
                <w:szCs w:val="24"/>
                <w:lang w:val="en-US"/>
              </w:rPr>
              <w:t>20</w:t>
            </w:r>
          </w:p>
        </w:tc>
        <w:tc>
          <w:tcPr>
            <w:tcW w:w="2716" w:type="dxa"/>
            <w:vAlign w:val="top"/>
          </w:tcPr>
          <w:p>
            <w:pPr>
              <w:spacing w:line="480" w:lineRule="exact"/>
              <w:jc w:val="center"/>
              <w:rPr>
                <w:color w:val="FF0000"/>
                <w:sz w:val="24"/>
                <w:szCs w:val="24"/>
              </w:rPr>
            </w:pPr>
            <w:r>
              <w:rPr>
                <w:sz w:val="24"/>
              </w:rPr>
              <w:t>递交纸质投标文件截止时间、地点</w:t>
            </w:r>
          </w:p>
        </w:tc>
        <w:tc>
          <w:tcPr>
            <w:tcW w:w="7134" w:type="dxa"/>
            <w:vAlign w:val="top"/>
          </w:tcPr>
          <w:p>
            <w:pPr>
              <w:pStyle w:val="20"/>
              <w:spacing w:line="400" w:lineRule="exact"/>
              <w:jc w:val="both"/>
              <w:rPr>
                <w:sz w:val="24"/>
              </w:rPr>
            </w:pPr>
            <w:r>
              <w:rPr>
                <w:sz w:val="24"/>
              </w:rPr>
              <w:t>截止时间：201</w:t>
            </w:r>
            <w:r>
              <w:rPr>
                <w:rFonts w:hint="eastAsia"/>
                <w:sz w:val="24"/>
              </w:rPr>
              <w:t>9</w:t>
            </w:r>
            <w:r>
              <w:rPr>
                <w:sz w:val="24"/>
              </w:rPr>
              <w:t>年</w:t>
            </w:r>
            <w:r>
              <w:rPr>
                <w:rFonts w:hint="eastAsia"/>
                <w:sz w:val="24"/>
                <w:lang w:val="en-US"/>
              </w:rPr>
              <w:t>4</w:t>
            </w:r>
            <w:r>
              <w:rPr>
                <w:sz w:val="24"/>
              </w:rPr>
              <w:t>月</w:t>
            </w:r>
            <w:r>
              <w:rPr>
                <w:rFonts w:hint="eastAsia"/>
                <w:sz w:val="24"/>
                <w:lang w:val="en-US"/>
              </w:rPr>
              <w:t xml:space="preserve">  </w:t>
            </w:r>
            <w:r>
              <w:rPr>
                <w:sz w:val="24"/>
              </w:rPr>
              <w:t>日</w:t>
            </w:r>
            <w:r>
              <w:rPr>
                <w:rFonts w:hint="eastAsia"/>
                <w:sz w:val="24"/>
                <w:lang w:val="en-US"/>
              </w:rPr>
              <w:t>14</w:t>
            </w:r>
            <w:r>
              <w:rPr>
                <w:rFonts w:hint="eastAsia"/>
                <w:sz w:val="24"/>
              </w:rPr>
              <w:t>：</w:t>
            </w:r>
            <w:r>
              <w:rPr>
                <w:rFonts w:hint="eastAsia"/>
                <w:sz w:val="24"/>
                <w:lang w:val="en-US"/>
              </w:rPr>
              <w:t>00</w:t>
            </w:r>
            <w:r>
              <w:rPr>
                <w:sz w:val="24"/>
              </w:rPr>
              <w:t>分</w:t>
            </w:r>
          </w:p>
          <w:p>
            <w:pPr>
              <w:spacing w:line="400" w:lineRule="exact"/>
              <w:jc w:val="both"/>
              <w:rPr>
                <w:sz w:val="24"/>
                <w:szCs w:val="24"/>
              </w:rPr>
            </w:pPr>
            <w:r>
              <w:rPr>
                <w:sz w:val="24"/>
              </w:rPr>
              <w:t>地</w:t>
            </w:r>
            <w:r>
              <w:rPr>
                <w:sz w:val="24"/>
              </w:rPr>
              <w:tab/>
            </w:r>
            <w:r>
              <w:rPr>
                <w:sz w:val="24"/>
              </w:rPr>
              <w:t>点：金乡县公共资源交易服务中心(金乡县金珠路</w:t>
            </w:r>
            <w:r>
              <w:rPr>
                <w:spacing w:val="-17"/>
                <w:sz w:val="24"/>
              </w:rPr>
              <w:t>与</w:t>
            </w:r>
            <w:r>
              <w:rPr>
                <w:sz w:val="24"/>
              </w:rPr>
              <w:t>山阳路交叉处（西南）五楼)。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67" w:type="dxa"/>
            <w:vAlign w:val="top"/>
          </w:tcPr>
          <w:p>
            <w:pPr>
              <w:spacing w:line="480" w:lineRule="exact"/>
              <w:jc w:val="center"/>
              <w:rPr>
                <w:sz w:val="24"/>
                <w:szCs w:val="24"/>
                <w:lang w:val="en-US"/>
              </w:rPr>
            </w:pPr>
            <w:r>
              <w:rPr>
                <w:rFonts w:hint="eastAsia"/>
                <w:sz w:val="24"/>
                <w:szCs w:val="24"/>
                <w:lang w:val="en-US"/>
              </w:rPr>
              <w:t>21</w:t>
            </w:r>
          </w:p>
        </w:tc>
        <w:tc>
          <w:tcPr>
            <w:tcW w:w="2716" w:type="dxa"/>
            <w:vAlign w:val="center"/>
          </w:tcPr>
          <w:p>
            <w:pPr>
              <w:spacing w:line="480" w:lineRule="exact"/>
              <w:jc w:val="center"/>
              <w:rPr>
                <w:color w:val="FF0000"/>
                <w:sz w:val="24"/>
                <w:szCs w:val="24"/>
              </w:rPr>
            </w:pPr>
            <w:r>
              <w:rPr>
                <w:sz w:val="24"/>
              </w:rPr>
              <w:t>开标时间、地点</w:t>
            </w:r>
          </w:p>
        </w:tc>
        <w:tc>
          <w:tcPr>
            <w:tcW w:w="7134" w:type="dxa"/>
            <w:vAlign w:val="top"/>
          </w:tcPr>
          <w:p>
            <w:pPr>
              <w:pStyle w:val="20"/>
              <w:spacing w:line="400" w:lineRule="exact"/>
              <w:jc w:val="both"/>
              <w:rPr>
                <w:sz w:val="24"/>
              </w:rPr>
            </w:pPr>
            <w:r>
              <w:rPr>
                <w:sz w:val="24"/>
              </w:rPr>
              <w:t>开标时间：201</w:t>
            </w:r>
            <w:r>
              <w:rPr>
                <w:rFonts w:hint="eastAsia"/>
                <w:sz w:val="24"/>
              </w:rPr>
              <w:t>9</w:t>
            </w:r>
            <w:r>
              <w:rPr>
                <w:sz w:val="24"/>
              </w:rPr>
              <w:t>年</w:t>
            </w:r>
            <w:r>
              <w:rPr>
                <w:rFonts w:hint="eastAsia"/>
                <w:sz w:val="24"/>
                <w:lang w:val="en-US"/>
              </w:rPr>
              <w:t>4</w:t>
            </w:r>
            <w:r>
              <w:rPr>
                <w:sz w:val="24"/>
              </w:rPr>
              <w:t>月</w:t>
            </w:r>
            <w:r>
              <w:rPr>
                <w:rFonts w:hint="eastAsia"/>
                <w:sz w:val="24"/>
                <w:lang w:val="en-US"/>
              </w:rPr>
              <w:t xml:space="preserve">  </w:t>
            </w:r>
            <w:r>
              <w:rPr>
                <w:sz w:val="24"/>
              </w:rPr>
              <w:t>日</w:t>
            </w:r>
            <w:r>
              <w:rPr>
                <w:rFonts w:hint="eastAsia"/>
                <w:sz w:val="24"/>
                <w:lang w:val="en-US"/>
              </w:rPr>
              <w:t>14</w:t>
            </w:r>
            <w:r>
              <w:rPr>
                <w:rFonts w:hint="eastAsia"/>
                <w:sz w:val="24"/>
              </w:rPr>
              <w:t>：</w:t>
            </w:r>
            <w:r>
              <w:rPr>
                <w:rFonts w:hint="eastAsia"/>
                <w:sz w:val="24"/>
                <w:lang w:val="en-US"/>
              </w:rPr>
              <w:t>00</w:t>
            </w:r>
            <w:r>
              <w:rPr>
                <w:sz w:val="24"/>
              </w:rPr>
              <w:t>分</w:t>
            </w:r>
          </w:p>
          <w:p>
            <w:pPr>
              <w:spacing w:line="400" w:lineRule="exact"/>
              <w:jc w:val="both"/>
              <w:rPr>
                <w:sz w:val="24"/>
                <w:szCs w:val="24"/>
              </w:rPr>
            </w:pPr>
            <w:r>
              <w:rPr>
                <w:sz w:val="24"/>
              </w:rPr>
              <w:t>开标地点： 金乡县公共资源交易服务中心(金乡县金珠路与山阳路交叉处（西南）五楼)。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67" w:type="dxa"/>
            <w:vAlign w:val="top"/>
          </w:tcPr>
          <w:p>
            <w:pPr>
              <w:spacing w:line="480" w:lineRule="exact"/>
              <w:jc w:val="center"/>
              <w:rPr>
                <w:sz w:val="24"/>
                <w:szCs w:val="24"/>
                <w:lang w:val="en-US"/>
              </w:rPr>
            </w:pPr>
            <w:r>
              <w:rPr>
                <w:rFonts w:hint="eastAsia"/>
                <w:sz w:val="24"/>
                <w:szCs w:val="24"/>
                <w:lang w:val="en-US"/>
              </w:rPr>
              <w:t>22</w:t>
            </w:r>
          </w:p>
        </w:tc>
        <w:tc>
          <w:tcPr>
            <w:tcW w:w="2716" w:type="dxa"/>
            <w:vAlign w:val="top"/>
          </w:tcPr>
          <w:p>
            <w:pPr>
              <w:spacing w:line="480" w:lineRule="exact"/>
              <w:jc w:val="center"/>
              <w:rPr>
                <w:color w:val="FF0000"/>
                <w:sz w:val="24"/>
                <w:szCs w:val="24"/>
              </w:rPr>
            </w:pPr>
            <w:r>
              <w:rPr>
                <w:sz w:val="24"/>
              </w:rPr>
              <w:t>投标有效期</w:t>
            </w:r>
          </w:p>
        </w:tc>
        <w:tc>
          <w:tcPr>
            <w:tcW w:w="7134" w:type="dxa"/>
            <w:vAlign w:val="top"/>
          </w:tcPr>
          <w:p>
            <w:pPr>
              <w:spacing w:line="480" w:lineRule="exact"/>
              <w:jc w:val="both"/>
              <w:rPr>
                <w:color w:val="FF0000"/>
                <w:sz w:val="24"/>
                <w:szCs w:val="24"/>
              </w:rPr>
            </w:pPr>
            <w:r>
              <w:rPr>
                <w:sz w:val="24"/>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4" w:hRule="atLeast"/>
        </w:trPr>
        <w:tc>
          <w:tcPr>
            <w:tcW w:w="767" w:type="dxa"/>
            <w:vAlign w:val="top"/>
          </w:tcPr>
          <w:p>
            <w:pPr>
              <w:spacing w:line="480" w:lineRule="exact"/>
              <w:jc w:val="center"/>
              <w:rPr>
                <w:sz w:val="24"/>
                <w:szCs w:val="24"/>
                <w:lang w:val="en-US"/>
              </w:rPr>
            </w:pPr>
            <w:r>
              <w:rPr>
                <w:rFonts w:hint="eastAsia"/>
                <w:sz w:val="24"/>
                <w:szCs w:val="24"/>
                <w:lang w:val="en-US"/>
              </w:rPr>
              <w:t>23</w:t>
            </w:r>
          </w:p>
        </w:tc>
        <w:tc>
          <w:tcPr>
            <w:tcW w:w="2716" w:type="dxa"/>
            <w:vAlign w:val="center"/>
          </w:tcPr>
          <w:p>
            <w:pPr>
              <w:spacing w:line="480" w:lineRule="exact"/>
              <w:jc w:val="center"/>
              <w:rPr>
                <w:color w:val="FF0000"/>
                <w:sz w:val="24"/>
                <w:szCs w:val="24"/>
              </w:rPr>
            </w:pPr>
            <w:r>
              <w:rPr>
                <w:sz w:val="24"/>
              </w:rPr>
              <w:t>开标需携带的原件</w:t>
            </w:r>
          </w:p>
        </w:tc>
        <w:tc>
          <w:tcPr>
            <w:tcW w:w="7134" w:type="dxa"/>
            <w:vAlign w:val="center"/>
          </w:tcPr>
          <w:p>
            <w:pPr>
              <w:pStyle w:val="20"/>
              <w:spacing w:line="400" w:lineRule="exact"/>
              <w:ind w:right="23"/>
              <w:jc w:val="both"/>
              <w:rPr>
                <w:b/>
                <w:sz w:val="24"/>
              </w:rPr>
            </w:pPr>
            <w:r>
              <w:rPr>
                <w:b/>
                <w:spacing w:val="-8"/>
                <w:sz w:val="24"/>
              </w:rPr>
              <w:t>开标时提交：营业执照副本、基本账户开户许可证、</w:t>
            </w:r>
            <w:r>
              <w:rPr>
                <w:rFonts w:hint="eastAsia"/>
                <w:b/>
                <w:spacing w:val="-8"/>
                <w:sz w:val="24"/>
              </w:rPr>
              <w:t>近三年年度财务报告、</w:t>
            </w:r>
            <w:r>
              <w:rPr>
                <w:b/>
                <w:spacing w:val="-8"/>
                <w:sz w:val="24"/>
              </w:rPr>
              <w:t>类似业绩合同（</w:t>
            </w:r>
            <w:r>
              <w:rPr>
                <w:b/>
                <w:spacing w:val="-9"/>
                <w:sz w:val="24"/>
              </w:rPr>
              <w:t>前述证件均需要原件</w:t>
            </w:r>
            <w:r>
              <w:rPr>
                <w:rFonts w:hint="eastAsia"/>
                <w:b/>
                <w:spacing w:val="-9"/>
                <w:sz w:val="24"/>
              </w:rPr>
              <w:t>或复印件加盖公章</w:t>
            </w:r>
            <w:r>
              <w:rPr>
                <w:b/>
                <w:spacing w:val="-9"/>
                <w:sz w:val="24"/>
              </w:rPr>
              <w:t>）。</w:t>
            </w:r>
          </w:p>
          <w:p>
            <w:pPr>
              <w:pStyle w:val="20"/>
              <w:spacing w:line="400" w:lineRule="exact"/>
              <w:jc w:val="both"/>
              <w:rPr>
                <w:color w:val="FF0000"/>
                <w:sz w:val="24"/>
                <w:szCs w:val="24"/>
              </w:rPr>
            </w:pPr>
            <w:r>
              <w:rPr>
                <w:b/>
                <w:sz w:val="24"/>
              </w:rPr>
              <w:t>信誉与业绩及人员资格证书需提供证明材料原件</w:t>
            </w:r>
            <w:r>
              <w:rPr>
                <w:rFonts w:hint="eastAsia"/>
                <w:b/>
                <w:sz w:val="24"/>
              </w:rPr>
              <w:t>或复印件加盖公章</w:t>
            </w:r>
            <w:r>
              <w:rPr>
                <w:b/>
                <w:sz w:val="24"/>
              </w:rPr>
              <w:t>，证明材料应与投标文件中复印件保持一致，否则不计分。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67" w:type="dxa"/>
            <w:vAlign w:val="top"/>
          </w:tcPr>
          <w:p>
            <w:pPr>
              <w:spacing w:line="480" w:lineRule="exact"/>
              <w:jc w:val="center"/>
              <w:rPr>
                <w:sz w:val="24"/>
                <w:szCs w:val="24"/>
                <w:lang w:val="en-US"/>
              </w:rPr>
            </w:pPr>
            <w:r>
              <w:rPr>
                <w:rFonts w:hint="eastAsia"/>
                <w:sz w:val="24"/>
                <w:szCs w:val="24"/>
                <w:lang w:val="en-US"/>
              </w:rPr>
              <w:t>24</w:t>
            </w:r>
          </w:p>
        </w:tc>
        <w:tc>
          <w:tcPr>
            <w:tcW w:w="2716" w:type="dxa"/>
            <w:vAlign w:val="center"/>
          </w:tcPr>
          <w:p>
            <w:pPr>
              <w:spacing w:line="480" w:lineRule="exact"/>
              <w:jc w:val="center"/>
              <w:rPr>
                <w:color w:val="FF0000"/>
                <w:sz w:val="24"/>
                <w:szCs w:val="24"/>
              </w:rPr>
            </w:pPr>
            <w:r>
              <w:rPr>
                <w:sz w:val="24"/>
              </w:rPr>
              <w:t>公开投标时投标人需要携带的证件</w:t>
            </w:r>
          </w:p>
        </w:tc>
        <w:tc>
          <w:tcPr>
            <w:tcW w:w="7134" w:type="dxa"/>
            <w:vAlign w:val="top"/>
          </w:tcPr>
          <w:p>
            <w:pPr>
              <w:pStyle w:val="20"/>
              <w:spacing w:line="400" w:lineRule="exact"/>
              <w:ind w:right="159"/>
              <w:jc w:val="both"/>
              <w:rPr>
                <w:sz w:val="24"/>
              </w:rPr>
            </w:pPr>
            <w:r>
              <w:rPr>
                <w:sz w:val="24"/>
              </w:rPr>
              <w:t>1、投标人的法定代表人（或其委托代理人）应按时参加公开报价仪式。</w:t>
            </w:r>
          </w:p>
          <w:p>
            <w:pPr>
              <w:pStyle w:val="20"/>
              <w:spacing w:line="400" w:lineRule="exact"/>
              <w:ind w:right="92"/>
              <w:jc w:val="both"/>
              <w:rPr>
                <w:sz w:val="24"/>
              </w:rPr>
            </w:pPr>
            <w:r>
              <w:rPr>
                <w:sz w:val="24"/>
              </w:rPr>
              <w:t>2、企业法定代表人参加公开报价仪式的，需提交其</w:t>
            </w:r>
            <w:r>
              <w:rPr>
                <w:b/>
                <w:sz w:val="24"/>
              </w:rPr>
              <w:t>身份证</w:t>
            </w:r>
            <w:r>
              <w:rPr>
                <w:b/>
                <w:spacing w:val="-6"/>
                <w:sz w:val="24"/>
              </w:rPr>
              <w:t>原件</w:t>
            </w:r>
            <w:r>
              <w:rPr>
                <w:sz w:val="24"/>
              </w:rPr>
              <w:t>（无需密封</w:t>
            </w:r>
            <w:r>
              <w:rPr>
                <w:spacing w:val="-14"/>
                <w:sz w:val="24"/>
              </w:rPr>
              <w:t>）</w:t>
            </w:r>
            <w:r>
              <w:rPr>
                <w:spacing w:val="-6"/>
                <w:sz w:val="24"/>
              </w:rPr>
              <w:t>；委托代理人参加公开报价仪式的，需提</w:t>
            </w:r>
            <w:r>
              <w:rPr>
                <w:sz w:val="24"/>
              </w:rPr>
              <w:t>交其</w:t>
            </w:r>
            <w:r>
              <w:rPr>
                <w:b/>
                <w:sz w:val="24"/>
              </w:rPr>
              <w:t>身份证原件及授权委托书原件（无需密封）</w:t>
            </w:r>
            <w:r>
              <w:rPr>
                <w:sz w:val="24"/>
              </w:rPr>
              <w:t>；</w:t>
            </w:r>
          </w:p>
          <w:p>
            <w:pPr>
              <w:spacing w:line="400" w:lineRule="exact"/>
              <w:jc w:val="both"/>
              <w:rPr>
                <w:color w:val="FF0000"/>
                <w:sz w:val="24"/>
                <w:szCs w:val="24"/>
              </w:rPr>
            </w:pPr>
            <w:r>
              <w:rPr>
                <w:sz w:val="24"/>
              </w:rPr>
              <w:t>未按规定提交证件的投标人，其投标文件将被拒绝。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67" w:type="dxa"/>
            <w:vAlign w:val="top"/>
          </w:tcPr>
          <w:p>
            <w:pPr>
              <w:spacing w:line="480" w:lineRule="exact"/>
              <w:jc w:val="center"/>
              <w:rPr>
                <w:sz w:val="24"/>
                <w:szCs w:val="24"/>
                <w:lang w:val="en-US"/>
              </w:rPr>
            </w:pPr>
            <w:r>
              <w:rPr>
                <w:rFonts w:hint="eastAsia"/>
                <w:sz w:val="24"/>
                <w:szCs w:val="24"/>
                <w:lang w:val="en-US"/>
              </w:rPr>
              <w:t>25</w:t>
            </w:r>
          </w:p>
        </w:tc>
        <w:tc>
          <w:tcPr>
            <w:tcW w:w="2716" w:type="dxa"/>
            <w:vAlign w:val="center"/>
          </w:tcPr>
          <w:p>
            <w:pPr>
              <w:spacing w:line="480" w:lineRule="exact"/>
              <w:jc w:val="center"/>
              <w:rPr>
                <w:sz w:val="24"/>
              </w:rPr>
            </w:pPr>
            <w:r>
              <w:rPr>
                <w:sz w:val="24"/>
              </w:rPr>
              <w:t>招标文件工本费</w:t>
            </w:r>
          </w:p>
        </w:tc>
        <w:tc>
          <w:tcPr>
            <w:tcW w:w="7134" w:type="dxa"/>
            <w:vAlign w:val="top"/>
          </w:tcPr>
          <w:p>
            <w:pPr>
              <w:spacing w:line="400" w:lineRule="exact"/>
              <w:jc w:val="both"/>
              <w:rPr>
                <w:sz w:val="24"/>
              </w:rPr>
            </w:pPr>
            <w:r>
              <w:rPr>
                <w:sz w:val="24"/>
              </w:rPr>
              <w:t>招标文件300元/本，售出不退，复印转让无效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67" w:type="dxa"/>
            <w:vAlign w:val="top"/>
          </w:tcPr>
          <w:p>
            <w:pPr>
              <w:spacing w:line="480" w:lineRule="exact"/>
              <w:jc w:val="center"/>
              <w:rPr>
                <w:sz w:val="24"/>
                <w:szCs w:val="24"/>
                <w:lang w:val="en-US"/>
              </w:rPr>
            </w:pPr>
            <w:r>
              <w:rPr>
                <w:rFonts w:hint="eastAsia"/>
                <w:sz w:val="24"/>
                <w:szCs w:val="24"/>
                <w:lang w:val="en-US"/>
              </w:rPr>
              <w:t>26</w:t>
            </w:r>
          </w:p>
        </w:tc>
        <w:tc>
          <w:tcPr>
            <w:tcW w:w="2716" w:type="dxa"/>
            <w:vAlign w:val="center"/>
          </w:tcPr>
          <w:p>
            <w:pPr>
              <w:spacing w:line="480" w:lineRule="exact"/>
              <w:jc w:val="center"/>
              <w:rPr>
                <w:sz w:val="24"/>
              </w:rPr>
            </w:pPr>
            <w:r>
              <w:rPr>
                <w:sz w:val="24"/>
              </w:rPr>
              <w:t>最高限价</w:t>
            </w:r>
          </w:p>
        </w:tc>
        <w:tc>
          <w:tcPr>
            <w:tcW w:w="7134" w:type="dxa"/>
            <w:vAlign w:val="top"/>
          </w:tcPr>
          <w:p>
            <w:pPr>
              <w:pStyle w:val="20"/>
              <w:spacing w:before="1" w:line="400" w:lineRule="exact"/>
              <w:ind w:right="1465"/>
              <w:jc w:val="both"/>
              <w:rPr>
                <w:b/>
                <w:sz w:val="24"/>
                <w:lang w:val="en-US"/>
              </w:rPr>
            </w:pPr>
            <w:r>
              <w:rPr>
                <w:b/>
                <w:sz w:val="24"/>
              </w:rPr>
              <w:t>招标最高控制价：</w:t>
            </w:r>
            <w:r>
              <w:rPr>
                <w:rFonts w:hint="eastAsia"/>
                <w:b/>
                <w:sz w:val="24"/>
                <w:lang w:val="en-US"/>
              </w:rPr>
              <w:t>无</w:t>
            </w:r>
          </w:p>
          <w:p>
            <w:pPr>
              <w:pStyle w:val="20"/>
              <w:spacing w:before="1" w:line="400" w:lineRule="exact"/>
              <w:ind w:right="1465"/>
              <w:jc w:val="both"/>
              <w:rPr>
                <w:b/>
                <w:sz w:val="24"/>
                <w:lang w:val="en-US"/>
              </w:rPr>
            </w:pPr>
            <w:r>
              <w:rPr>
                <w:rFonts w:hint="eastAsia"/>
                <w:b/>
                <w:sz w:val="24"/>
                <w:lang w:val="en-US"/>
              </w:rPr>
              <w:t>报价比例最高为50%</w:t>
            </w:r>
          </w:p>
          <w:p>
            <w:pPr>
              <w:spacing w:line="400" w:lineRule="exact"/>
              <w:jc w:val="both"/>
              <w:rPr>
                <w:sz w:val="24"/>
              </w:rPr>
            </w:pPr>
            <w:r>
              <w:rPr>
                <w:b/>
                <w:sz w:val="24"/>
              </w:rPr>
              <w:t>高于最高</w:t>
            </w:r>
            <w:r>
              <w:rPr>
                <w:rFonts w:hint="eastAsia"/>
                <w:b/>
                <w:sz w:val="24"/>
              </w:rPr>
              <w:t>报价比例</w:t>
            </w:r>
            <w:r>
              <w:rPr>
                <w:b/>
                <w:sz w:val="24"/>
              </w:rPr>
              <w:t>为无效标。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67" w:type="dxa"/>
            <w:vAlign w:val="top"/>
          </w:tcPr>
          <w:p>
            <w:pPr>
              <w:spacing w:line="480" w:lineRule="exact"/>
              <w:jc w:val="center"/>
              <w:rPr>
                <w:sz w:val="24"/>
                <w:szCs w:val="24"/>
                <w:lang w:val="en-US"/>
              </w:rPr>
            </w:pPr>
            <w:r>
              <w:rPr>
                <w:rFonts w:hint="eastAsia"/>
                <w:sz w:val="24"/>
                <w:szCs w:val="24"/>
                <w:lang w:val="en-US"/>
              </w:rPr>
              <w:t>27</w:t>
            </w:r>
          </w:p>
        </w:tc>
        <w:tc>
          <w:tcPr>
            <w:tcW w:w="2716" w:type="dxa"/>
            <w:vAlign w:val="center"/>
          </w:tcPr>
          <w:p>
            <w:pPr>
              <w:spacing w:line="480" w:lineRule="exact"/>
              <w:jc w:val="center"/>
              <w:rPr>
                <w:sz w:val="24"/>
              </w:rPr>
            </w:pPr>
            <w:r>
              <w:rPr>
                <w:sz w:val="24"/>
              </w:rPr>
              <w:t>中标人的确定</w:t>
            </w:r>
          </w:p>
        </w:tc>
        <w:tc>
          <w:tcPr>
            <w:tcW w:w="7134" w:type="dxa"/>
            <w:vAlign w:val="top"/>
          </w:tcPr>
          <w:p>
            <w:pPr>
              <w:pStyle w:val="20"/>
              <w:spacing w:line="400" w:lineRule="exact"/>
              <w:ind w:right="91"/>
              <w:jc w:val="both"/>
              <w:rPr>
                <w:sz w:val="24"/>
              </w:rPr>
            </w:pPr>
            <w:r>
              <w:rPr>
                <w:spacing w:val="-5"/>
                <w:sz w:val="24"/>
              </w:rPr>
              <w:t>本项目评标办法采用综合评估法，按综合评分由高到低顺序</w:t>
            </w:r>
            <w:r>
              <w:rPr>
                <w:sz w:val="24"/>
              </w:rPr>
              <w:t>确定3名中标候选人。综合评分相同的，按价格评分由高到</w:t>
            </w:r>
            <w:r>
              <w:rPr>
                <w:spacing w:val="-7"/>
                <w:sz w:val="24"/>
              </w:rPr>
              <w:t>低顺序排列；综合评分相同，且价格评分相同的，按技术评</w:t>
            </w:r>
            <w:r>
              <w:rPr>
                <w:spacing w:val="-6"/>
                <w:sz w:val="24"/>
              </w:rPr>
              <w:t>分由高到低顺序排列。综合评分相同，且价格评分和技术评</w:t>
            </w:r>
            <w:r>
              <w:rPr>
                <w:spacing w:val="-8"/>
                <w:sz w:val="24"/>
              </w:rPr>
              <w:t>分均相同的，名次由评委会抽签决定。评委会按上述排列向</w:t>
            </w:r>
          </w:p>
          <w:p>
            <w:pPr>
              <w:spacing w:line="400" w:lineRule="exact"/>
              <w:jc w:val="both"/>
              <w:rPr>
                <w:sz w:val="24"/>
              </w:rPr>
            </w:pPr>
            <w:r>
              <w:rPr>
                <w:sz w:val="24"/>
              </w:rPr>
              <w:t>招标人推荐得分最高的为中标单位。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67" w:type="dxa"/>
            <w:vAlign w:val="top"/>
          </w:tcPr>
          <w:p>
            <w:pPr>
              <w:spacing w:line="480" w:lineRule="exact"/>
              <w:jc w:val="center"/>
              <w:rPr>
                <w:sz w:val="24"/>
                <w:szCs w:val="24"/>
                <w:lang w:val="en-US"/>
              </w:rPr>
            </w:pPr>
            <w:r>
              <w:rPr>
                <w:rFonts w:hint="eastAsia"/>
                <w:sz w:val="24"/>
                <w:szCs w:val="24"/>
                <w:lang w:val="en-US"/>
              </w:rPr>
              <w:t>28</w:t>
            </w:r>
          </w:p>
        </w:tc>
        <w:tc>
          <w:tcPr>
            <w:tcW w:w="2716" w:type="dxa"/>
            <w:vAlign w:val="center"/>
          </w:tcPr>
          <w:p>
            <w:pPr>
              <w:spacing w:line="480" w:lineRule="exact"/>
              <w:jc w:val="center"/>
              <w:rPr>
                <w:sz w:val="24"/>
              </w:rPr>
            </w:pPr>
            <w:r>
              <w:rPr>
                <w:sz w:val="24"/>
              </w:rPr>
              <w:t>中标通知</w:t>
            </w:r>
          </w:p>
        </w:tc>
        <w:tc>
          <w:tcPr>
            <w:tcW w:w="7134" w:type="dxa"/>
            <w:vAlign w:val="top"/>
          </w:tcPr>
          <w:p>
            <w:pPr>
              <w:spacing w:line="400" w:lineRule="exact"/>
              <w:jc w:val="both"/>
              <w:rPr>
                <w:sz w:val="24"/>
              </w:rPr>
            </w:pPr>
            <w:r>
              <w:rPr>
                <w:sz w:val="24"/>
              </w:rPr>
              <w:t>在投标文件有效期内或在延长后的投标文件有效期内，招标人将委托招标代理机构向中标人发出中标通知书，确认接受其投标。中标通知书为合同的组成部分。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67" w:type="dxa"/>
            <w:vAlign w:val="top"/>
          </w:tcPr>
          <w:p>
            <w:pPr>
              <w:spacing w:line="480" w:lineRule="exact"/>
              <w:jc w:val="center"/>
              <w:rPr>
                <w:sz w:val="24"/>
                <w:szCs w:val="24"/>
                <w:lang w:val="en-US"/>
              </w:rPr>
            </w:pPr>
            <w:r>
              <w:rPr>
                <w:rFonts w:hint="eastAsia"/>
                <w:sz w:val="24"/>
                <w:szCs w:val="24"/>
                <w:lang w:val="en-US"/>
              </w:rPr>
              <w:t>29</w:t>
            </w:r>
          </w:p>
        </w:tc>
        <w:tc>
          <w:tcPr>
            <w:tcW w:w="2716" w:type="dxa"/>
            <w:vAlign w:val="center"/>
          </w:tcPr>
          <w:p>
            <w:pPr>
              <w:spacing w:line="480" w:lineRule="exact"/>
              <w:jc w:val="center"/>
              <w:rPr>
                <w:sz w:val="24"/>
              </w:rPr>
            </w:pPr>
            <w:r>
              <w:rPr>
                <w:sz w:val="24"/>
              </w:rPr>
              <w:t>付款方式</w:t>
            </w:r>
          </w:p>
        </w:tc>
        <w:tc>
          <w:tcPr>
            <w:tcW w:w="7134" w:type="dxa"/>
            <w:vAlign w:val="top"/>
          </w:tcPr>
          <w:p>
            <w:pPr>
              <w:spacing w:line="480" w:lineRule="exact"/>
              <w:jc w:val="both"/>
              <w:rPr>
                <w:sz w:val="24"/>
              </w:rPr>
            </w:pPr>
            <w:r>
              <w:rPr>
                <w:rFonts w:hint="eastAsia"/>
                <w:b/>
                <w:spacing w:val="-3"/>
                <w:sz w:val="24"/>
              </w:rPr>
              <w:t>管理服务费用以签订的合同价为准，支付方式为：按服务次数计算，当月支付上月费用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67" w:type="dxa"/>
            <w:vAlign w:val="top"/>
          </w:tcPr>
          <w:p>
            <w:pPr>
              <w:spacing w:line="480" w:lineRule="exact"/>
              <w:jc w:val="center"/>
              <w:rPr>
                <w:sz w:val="24"/>
                <w:szCs w:val="24"/>
                <w:lang w:val="en-US"/>
              </w:rPr>
            </w:pPr>
            <w:r>
              <w:rPr>
                <w:rFonts w:hint="eastAsia"/>
                <w:sz w:val="24"/>
                <w:szCs w:val="24"/>
                <w:lang w:val="en-US"/>
              </w:rPr>
              <w:t>30</w:t>
            </w:r>
          </w:p>
        </w:tc>
        <w:tc>
          <w:tcPr>
            <w:tcW w:w="2716" w:type="dxa"/>
            <w:vAlign w:val="center"/>
          </w:tcPr>
          <w:p>
            <w:pPr>
              <w:spacing w:line="480" w:lineRule="exact"/>
              <w:jc w:val="center"/>
              <w:rPr>
                <w:sz w:val="24"/>
              </w:rPr>
            </w:pPr>
            <w:r>
              <w:rPr>
                <w:sz w:val="24"/>
              </w:rPr>
              <w:t>履约保证金</w:t>
            </w:r>
          </w:p>
        </w:tc>
        <w:tc>
          <w:tcPr>
            <w:tcW w:w="7134" w:type="dxa"/>
            <w:vAlign w:val="top"/>
          </w:tcPr>
          <w:p>
            <w:pPr>
              <w:spacing w:line="400" w:lineRule="exact"/>
              <w:jc w:val="both"/>
              <w:rPr>
                <w:sz w:val="24"/>
              </w:rPr>
            </w:pPr>
            <w:r>
              <w:rPr>
                <w:b/>
                <w:spacing w:val="-3"/>
                <w:sz w:val="24"/>
              </w:rPr>
              <w:t>履约保证金为合同总价款（按</w:t>
            </w:r>
            <w:r>
              <w:rPr>
                <w:rFonts w:hint="eastAsia"/>
                <w:b/>
                <w:spacing w:val="-3"/>
                <w:sz w:val="24"/>
                <w:lang w:val="en-US"/>
              </w:rPr>
              <w:t>3</w:t>
            </w:r>
            <w:r>
              <w:rPr>
                <w:b/>
                <w:spacing w:val="-3"/>
                <w:sz w:val="24"/>
              </w:rPr>
              <w:t>年计算）的10%，中标公示结束后5个工作日内签订合同前缴纳至招标人指定账户,否则招标</w:t>
            </w:r>
            <w:r>
              <w:rPr>
                <w:rFonts w:hint="eastAsia"/>
                <w:b/>
                <w:spacing w:val="-3"/>
                <w:sz w:val="24"/>
              </w:rPr>
              <w:t>人</w:t>
            </w:r>
            <w:r>
              <w:rPr>
                <w:b/>
                <w:spacing w:val="-3"/>
                <w:sz w:val="24"/>
              </w:rPr>
              <w:t>有权直接取消中标资格。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67" w:type="dxa"/>
            <w:vMerge w:val="restart"/>
            <w:vAlign w:val="top"/>
          </w:tcPr>
          <w:p>
            <w:pPr>
              <w:spacing w:line="480" w:lineRule="exact"/>
              <w:jc w:val="center"/>
              <w:rPr>
                <w:sz w:val="24"/>
                <w:szCs w:val="24"/>
                <w:lang w:val="en-US"/>
              </w:rPr>
            </w:pPr>
            <w:r>
              <w:rPr>
                <w:rFonts w:hint="eastAsia"/>
                <w:sz w:val="24"/>
                <w:szCs w:val="24"/>
                <w:lang w:val="en-US"/>
              </w:rPr>
              <w:t>31</w:t>
            </w:r>
          </w:p>
        </w:tc>
        <w:tc>
          <w:tcPr>
            <w:tcW w:w="2716" w:type="dxa"/>
            <w:vMerge w:val="restart"/>
            <w:vAlign w:val="center"/>
          </w:tcPr>
          <w:p>
            <w:pPr>
              <w:spacing w:line="480" w:lineRule="exact"/>
              <w:jc w:val="center"/>
              <w:rPr>
                <w:sz w:val="24"/>
              </w:rPr>
            </w:pPr>
            <w:r>
              <w:rPr>
                <w:sz w:val="24"/>
              </w:rPr>
              <w:t>中小企业、监狱企业、残疾人福利性单位重 要说明</w:t>
            </w:r>
          </w:p>
        </w:tc>
        <w:tc>
          <w:tcPr>
            <w:tcW w:w="7134" w:type="dxa"/>
            <w:vAlign w:val="top"/>
          </w:tcPr>
          <w:p>
            <w:pPr>
              <w:pStyle w:val="20"/>
              <w:spacing w:before="94" w:line="400" w:lineRule="exact"/>
              <w:ind w:right="90"/>
              <w:jc w:val="both"/>
              <w:rPr>
                <w:sz w:val="24"/>
              </w:rPr>
            </w:pPr>
            <w:r>
              <w:rPr>
                <w:spacing w:val="6"/>
                <w:sz w:val="24"/>
              </w:rPr>
              <w:t>为了落实促进中小企业发展、促进残疾人就业政府采购政</w:t>
            </w:r>
            <w:r>
              <w:rPr>
                <w:spacing w:val="-8"/>
                <w:sz w:val="24"/>
              </w:rPr>
              <w:t>策，本项目将根据投标人情况、投标产品情况给予适当价格</w:t>
            </w:r>
            <w:r>
              <w:rPr>
                <w:sz w:val="24"/>
              </w:rPr>
              <w:t>折减：</w:t>
            </w:r>
          </w:p>
          <w:p>
            <w:pPr>
              <w:pStyle w:val="20"/>
              <w:spacing w:line="400" w:lineRule="exact"/>
              <w:ind w:right="-29"/>
              <w:jc w:val="both"/>
              <w:rPr>
                <w:sz w:val="24"/>
              </w:rPr>
            </w:pPr>
            <w:r>
              <w:rPr>
                <w:sz w:val="24"/>
              </w:rPr>
              <w:t>&lt;1&gt;根据财政部，工信部印发的《政府采购促进中小企业发</w:t>
            </w:r>
            <w:r>
              <w:rPr>
                <w:spacing w:val="-15"/>
                <w:sz w:val="24"/>
              </w:rPr>
              <w:t xml:space="preserve">展暂行办法》。提供本企业制造的货物、承担的工程或服务， </w:t>
            </w:r>
            <w:r>
              <w:rPr>
                <w:spacing w:val="-4"/>
                <w:sz w:val="24"/>
              </w:rPr>
              <w:t>或提供其他中小企业制造的货物，本项所称货物不包括使用</w:t>
            </w:r>
            <w:r>
              <w:rPr>
                <w:spacing w:val="-8"/>
                <w:sz w:val="24"/>
              </w:rPr>
              <w:t>大型企业注册商标的货物；小型微型企业提供中型企业制造</w:t>
            </w:r>
            <w:r>
              <w:rPr>
                <w:spacing w:val="-10"/>
                <w:sz w:val="24"/>
              </w:rPr>
              <w:t>的货物的，视同为中型企业。对小型和微型企业的价格给予</w:t>
            </w:r>
            <w:r>
              <w:rPr>
                <w:sz w:val="24"/>
              </w:rPr>
              <w:t>6%</w:t>
            </w:r>
            <w:r>
              <w:rPr>
                <w:spacing w:val="-7"/>
                <w:sz w:val="24"/>
              </w:rPr>
              <w:t>的扣除，但必须同时提供如下证明材料，否则不予价格扣</w:t>
            </w:r>
            <w:r>
              <w:rPr>
                <w:spacing w:val="-5"/>
                <w:sz w:val="24"/>
              </w:rPr>
              <w:t>除。①中小企业声明函</w:t>
            </w:r>
            <w:r>
              <w:rPr>
                <w:spacing w:val="-3"/>
                <w:sz w:val="24"/>
              </w:rPr>
              <w:t>（</w:t>
            </w:r>
            <w:r>
              <w:rPr>
                <w:sz w:val="24"/>
              </w:rPr>
              <w:t>格式附后</w:t>
            </w:r>
            <w:r>
              <w:rPr>
                <w:spacing w:val="-10"/>
                <w:sz w:val="24"/>
              </w:rPr>
              <w:t>）</w:t>
            </w:r>
            <w:r>
              <w:rPr>
                <w:spacing w:val="-5"/>
                <w:sz w:val="24"/>
              </w:rPr>
              <w:t>。②属于小型、微型企</w:t>
            </w:r>
            <w:r>
              <w:rPr>
                <w:spacing w:val="-12"/>
                <w:sz w:val="24"/>
              </w:rPr>
              <w:t>业的证明文件原件</w:t>
            </w:r>
            <w:r>
              <w:rPr>
                <w:sz w:val="24"/>
              </w:rPr>
              <w:t>（格式附后</w:t>
            </w:r>
            <w:r>
              <w:rPr>
                <w:spacing w:val="-56"/>
                <w:sz w:val="24"/>
              </w:rPr>
              <w:t>）</w:t>
            </w:r>
            <w:r>
              <w:rPr>
                <w:spacing w:val="-9"/>
                <w:sz w:val="24"/>
              </w:rPr>
              <w:t>。③若同一合同包内的小型、</w:t>
            </w:r>
            <w:r>
              <w:rPr>
                <w:spacing w:val="-3"/>
                <w:sz w:val="24"/>
              </w:rPr>
              <w:t>微型企业产品仅是构成报价产品的部件、组件或零件的，则</w:t>
            </w:r>
            <w:r>
              <w:rPr>
                <w:spacing w:val="-7"/>
                <w:sz w:val="24"/>
              </w:rPr>
              <w:t>该报价产品不给予价格扣除。中小企业划分标准详见工业和</w:t>
            </w:r>
            <w:r>
              <w:rPr>
                <w:spacing w:val="-9"/>
                <w:sz w:val="24"/>
              </w:rPr>
              <w:t>信息化部、国家统计局、国家发展和改革委员会、财政部出台的工信部联企业[2011]300</w:t>
            </w:r>
            <w:r>
              <w:rPr>
                <w:spacing w:val="-12"/>
                <w:sz w:val="24"/>
              </w:rPr>
              <w:t xml:space="preserve"> 号文件。</w:t>
            </w:r>
            <w:r>
              <w:rPr>
                <w:sz w:val="24"/>
              </w:rPr>
              <w:t>）；</w:t>
            </w:r>
          </w:p>
          <w:p>
            <w:pPr>
              <w:pStyle w:val="20"/>
              <w:spacing w:line="400" w:lineRule="exact"/>
              <w:ind w:right="-29"/>
              <w:jc w:val="both"/>
              <w:rPr>
                <w:sz w:val="24"/>
              </w:rPr>
            </w:pPr>
            <w:r>
              <w:rPr>
                <w:sz w:val="24"/>
              </w:rPr>
              <w:t>&lt;2&gt;监狱企业是指由司法部认定的为罪犯、戒毒人员提供生</w:t>
            </w:r>
            <w:r>
              <w:rPr>
                <w:spacing w:val="-5"/>
                <w:sz w:val="24"/>
              </w:rPr>
              <w:t>产项目和劳动对象，且全部产权属于司法部监狱管理局、戒</w:t>
            </w:r>
            <w:r>
              <w:rPr>
                <w:spacing w:val="-9"/>
                <w:sz w:val="24"/>
              </w:rPr>
              <w:t>毒管理局、直属煤矿管理局，各省、自治区、直辖市监狱管</w:t>
            </w:r>
            <w:r>
              <w:rPr>
                <w:spacing w:val="-16"/>
                <w:sz w:val="24"/>
              </w:rPr>
              <w:t>理局、戒毒管理局，各地(设区的市)监狱、强制隔离戒毒所、</w:t>
            </w:r>
            <w:r>
              <w:rPr>
                <w:spacing w:val="-6"/>
                <w:sz w:val="24"/>
              </w:rPr>
              <w:t>戒毒康复所，以及新疆生产建设兵团监狱管理局、戒毒管理</w:t>
            </w:r>
            <w:r>
              <w:rPr>
                <w:spacing w:val="-9"/>
                <w:sz w:val="24"/>
              </w:rPr>
              <w:t>局的企业。监狱企业参加政府采购活动时，应当提供由省级</w:t>
            </w:r>
            <w:r>
              <w:rPr>
                <w:spacing w:val="-11"/>
                <w:sz w:val="24"/>
              </w:rPr>
              <w:t>以上监狱管理局、戒毒管理局(含新疆生产建设兵团)出具的</w:t>
            </w:r>
            <w:r>
              <w:rPr>
                <w:spacing w:val="-2"/>
                <w:sz w:val="24"/>
              </w:rPr>
              <w:t>属于监狱企业的证明文件</w:t>
            </w:r>
            <w:r>
              <w:rPr>
                <w:sz w:val="24"/>
              </w:rPr>
              <w:t>（复印件加盖公章</w:t>
            </w:r>
            <w:r>
              <w:rPr>
                <w:spacing w:val="-20"/>
                <w:sz w:val="24"/>
              </w:rPr>
              <w:t>）</w:t>
            </w:r>
            <w:r>
              <w:rPr>
                <w:spacing w:val="-4"/>
                <w:sz w:val="24"/>
              </w:rPr>
              <w:t>。具体采购项</w:t>
            </w:r>
            <w:r>
              <w:rPr>
                <w:sz w:val="24"/>
              </w:rPr>
              <w:t>目评审时，监狱企业报价给予 6%的价格扣除优惠。</w:t>
            </w:r>
          </w:p>
          <w:p>
            <w:pPr>
              <w:spacing w:line="400" w:lineRule="exact"/>
              <w:jc w:val="both"/>
              <w:rPr>
                <w:sz w:val="24"/>
              </w:rPr>
            </w:pPr>
            <w:r>
              <w:rPr>
                <w:sz w:val="24"/>
              </w:rPr>
              <w:t>&lt;3&gt;</w:t>
            </w:r>
            <w:r>
              <w:rPr>
                <w:spacing w:val="-5"/>
                <w:sz w:val="24"/>
              </w:rPr>
              <w:t xml:space="preserve">残疾人福利性单位给予 </w:t>
            </w:r>
            <w:r>
              <w:rPr>
                <w:sz w:val="24"/>
              </w:rPr>
              <w:t>6%</w:t>
            </w:r>
            <w:r>
              <w:rPr>
                <w:spacing w:val="-1"/>
                <w:sz w:val="24"/>
              </w:rPr>
              <w:t>的价格扣除优惠。依据《关于</w:t>
            </w:r>
            <w:r>
              <w:rPr>
                <w:sz w:val="24"/>
              </w:rPr>
              <w:t>促进残疾人就业政府采购政策的通知财库〔2017〕141</w:t>
            </w:r>
            <w:r>
              <w:rPr>
                <w:spacing w:val="-23"/>
                <w:sz w:val="24"/>
              </w:rPr>
              <w:t xml:space="preserve"> 号》</w:t>
            </w:r>
            <w:r>
              <w:rPr>
                <w:spacing w:val="-7"/>
                <w:sz w:val="24"/>
              </w:rPr>
              <w:t>文件，属于残疾人福利性单位的需提供《残疾人福利性单位</w:t>
            </w:r>
            <w:r>
              <w:rPr>
                <w:spacing w:val="-5"/>
                <w:sz w:val="24"/>
              </w:rPr>
              <w:t>声明函》</w:t>
            </w:r>
            <w:r>
              <w:rPr>
                <w:spacing w:val="-3"/>
                <w:sz w:val="24"/>
              </w:rPr>
              <w:t>（</w:t>
            </w:r>
            <w:r>
              <w:rPr>
                <w:sz w:val="24"/>
              </w:rPr>
              <w:t>见附件</w:t>
            </w:r>
            <w:r>
              <w:rPr>
                <w:spacing w:val="-9"/>
                <w:sz w:val="24"/>
              </w:rPr>
              <w:t>）</w:t>
            </w:r>
            <w:r>
              <w:rPr>
                <w:spacing w:val="-5"/>
                <w:sz w:val="24"/>
              </w:rPr>
              <w:t>，残疾人福利性单位属于小型、微型企</w:t>
            </w:r>
            <w:r>
              <w:rPr>
                <w:spacing w:val="-8"/>
                <w:sz w:val="24"/>
              </w:rPr>
              <w:t>业的，不重复享受政策。中标、成交供应商为残疾人福利性单位的，随中标、成交结果同时公告其《残疾人福利性单位声明函》，接受社会监督。投标人提供的《残疾人福利性单</w:t>
            </w:r>
            <w:r>
              <w:rPr>
                <w:spacing w:val="-7"/>
                <w:sz w:val="24"/>
              </w:rPr>
              <w:t>位声明函》与事实不符的，依照《政府采购法》第七十七条</w:t>
            </w:r>
            <w:r>
              <w:rPr>
                <w:sz w:val="24"/>
              </w:rPr>
              <w:t>第一款的规定追究法律责任。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67" w:type="dxa"/>
            <w:vMerge w:val="continue"/>
            <w:vAlign w:val="top"/>
          </w:tcPr>
          <w:p>
            <w:pPr>
              <w:spacing w:line="480" w:lineRule="exact"/>
              <w:jc w:val="center"/>
              <w:rPr>
                <w:sz w:val="24"/>
                <w:szCs w:val="24"/>
                <w:lang w:val="en-US"/>
              </w:rPr>
            </w:pPr>
          </w:p>
        </w:tc>
        <w:tc>
          <w:tcPr>
            <w:tcW w:w="2716" w:type="dxa"/>
            <w:vMerge w:val="continue"/>
            <w:vAlign w:val="center"/>
          </w:tcPr>
          <w:p>
            <w:pPr>
              <w:spacing w:line="480" w:lineRule="exact"/>
              <w:jc w:val="center"/>
              <w:rPr>
                <w:sz w:val="24"/>
              </w:rPr>
            </w:pPr>
          </w:p>
        </w:tc>
        <w:tc>
          <w:tcPr>
            <w:tcW w:w="7134" w:type="dxa"/>
            <w:vAlign w:val="top"/>
          </w:tcPr>
          <w:p>
            <w:pPr>
              <w:pStyle w:val="20"/>
              <w:spacing w:line="400" w:lineRule="exact"/>
              <w:ind w:right="28"/>
              <w:jc w:val="both"/>
              <w:rPr>
                <w:sz w:val="24"/>
              </w:rPr>
            </w:pPr>
            <w:r>
              <w:rPr>
                <w:sz w:val="24"/>
              </w:rPr>
              <w:t>本项目所购产品如属于“节能产品政府采购清单”强制采购清单范围内的,必须在“节能产品政府采购清单”内选择所报产品设备的品牌。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0617" w:type="dxa"/>
            <w:gridSpan w:val="3"/>
            <w:vAlign w:val="top"/>
          </w:tcPr>
          <w:p>
            <w:pPr>
              <w:spacing w:line="400" w:lineRule="exact"/>
              <w:jc w:val="both"/>
              <w:rPr>
                <w:sz w:val="24"/>
              </w:rPr>
            </w:pPr>
            <w:r>
              <w:rPr>
                <w:sz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67" w:type="dxa"/>
            <w:vAlign w:val="center"/>
          </w:tcPr>
          <w:p>
            <w:pPr>
              <w:spacing w:line="480" w:lineRule="exact"/>
              <w:jc w:val="center"/>
              <w:rPr>
                <w:sz w:val="24"/>
                <w:szCs w:val="24"/>
                <w:lang w:val="en-US"/>
              </w:rPr>
            </w:pPr>
            <w:r>
              <w:rPr>
                <w:rFonts w:hint="eastAsia"/>
                <w:sz w:val="24"/>
                <w:szCs w:val="24"/>
                <w:lang w:val="en-US"/>
              </w:rPr>
              <w:t>1</w:t>
            </w:r>
          </w:p>
        </w:tc>
        <w:tc>
          <w:tcPr>
            <w:tcW w:w="9850" w:type="dxa"/>
            <w:gridSpan w:val="2"/>
            <w:vAlign w:val="center"/>
          </w:tcPr>
          <w:p>
            <w:pPr>
              <w:spacing w:line="400" w:lineRule="exact"/>
              <w:jc w:val="both"/>
              <w:rPr>
                <w:sz w:val="24"/>
              </w:rPr>
            </w:pPr>
            <w:r>
              <w:rPr>
                <w:sz w:val="24"/>
              </w:rPr>
              <w:t>招标人不保证投标价最低的投标人中标，也没有义务对未中标的投标人作任何解释和说明。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67" w:type="dxa"/>
            <w:vAlign w:val="center"/>
          </w:tcPr>
          <w:p>
            <w:pPr>
              <w:spacing w:line="480" w:lineRule="exact"/>
              <w:jc w:val="center"/>
              <w:rPr>
                <w:sz w:val="24"/>
                <w:szCs w:val="24"/>
                <w:lang w:val="en-US"/>
              </w:rPr>
            </w:pPr>
            <w:r>
              <w:rPr>
                <w:rFonts w:hint="eastAsia"/>
                <w:sz w:val="24"/>
                <w:szCs w:val="24"/>
                <w:lang w:val="en-US"/>
              </w:rPr>
              <w:t>2</w:t>
            </w:r>
          </w:p>
        </w:tc>
        <w:tc>
          <w:tcPr>
            <w:tcW w:w="9850" w:type="dxa"/>
            <w:gridSpan w:val="2"/>
            <w:vAlign w:val="center"/>
          </w:tcPr>
          <w:p>
            <w:pPr>
              <w:spacing w:line="400" w:lineRule="exact"/>
              <w:jc w:val="both"/>
              <w:rPr>
                <w:sz w:val="24"/>
              </w:rPr>
            </w:pPr>
            <w:r>
              <w:rPr>
                <w:sz w:val="24"/>
              </w:rPr>
              <w:t>投标人对招标文件有异议的，应当在投标截止时间15日前向招标人提出，未在规定时间内提出异议的，视为对招标文件无异议。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67" w:type="dxa"/>
            <w:vAlign w:val="center"/>
          </w:tcPr>
          <w:p>
            <w:pPr>
              <w:spacing w:line="480" w:lineRule="exact"/>
              <w:jc w:val="center"/>
              <w:rPr>
                <w:sz w:val="24"/>
                <w:szCs w:val="24"/>
                <w:lang w:val="en-US"/>
              </w:rPr>
            </w:pPr>
            <w:r>
              <w:rPr>
                <w:rFonts w:hint="eastAsia"/>
                <w:sz w:val="24"/>
                <w:szCs w:val="24"/>
                <w:lang w:val="en-US"/>
              </w:rPr>
              <w:t>3</w:t>
            </w:r>
          </w:p>
        </w:tc>
        <w:tc>
          <w:tcPr>
            <w:tcW w:w="9850" w:type="dxa"/>
            <w:gridSpan w:val="2"/>
            <w:vAlign w:val="center"/>
          </w:tcPr>
          <w:p>
            <w:pPr>
              <w:pStyle w:val="20"/>
              <w:spacing w:line="400" w:lineRule="exact"/>
              <w:ind w:right="91"/>
              <w:jc w:val="both"/>
              <w:rPr>
                <w:sz w:val="24"/>
              </w:rPr>
            </w:pPr>
            <w:r>
              <w:rPr>
                <w:sz w:val="24"/>
              </w:rPr>
              <w:t>1</w:t>
            </w:r>
            <w:r>
              <w:rPr>
                <w:spacing w:val="-8"/>
                <w:sz w:val="24"/>
              </w:rPr>
              <w:t>、竞标人应承担其编制投标文件与递交投标文件所涉及的一切费用。无论报价结</w:t>
            </w:r>
            <w:r>
              <w:rPr>
                <w:sz w:val="24"/>
              </w:rPr>
              <w:t>果如何，招标人对上述费用不负任何责任。投标文件不予退还。</w:t>
            </w:r>
          </w:p>
          <w:p>
            <w:pPr>
              <w:pStyle w:val="20"/>
              <w:spacing w:before="2" w:line="400" w:lineRule="exact"/>
              <w:jc w:val="both"/>
              <w:rPr>
                <w:sz w:val="24"/>
              </w:rPr>
            </w:pPr>
            <w:r>
              <w:rPr>
                <w:sz w:val="24"/>
              </w:rPr>
              <w:t>招标文件工本费：人民币300元/包（文件售出不退）。</w:t>
            </w:r>
          </w:p>
          <w:p>
            <w:pPr>
              <w:pStyle w:val="20"/>
              <w:spacing w:line="400" w:lineRule="exact"/>
              <w:jc w:val="both"/>
              <w:rPr>
                <w:sz w:val="24"/>
              </w:rPr>
            </w:pPr>
            <w:r>
              <w:rPr>
                <w:sz w:val="24"/>
              </w:rPr>
              <w:t>2、招标代理机构的代理费用由中标人承担。</w:t>
            </w:r>
          </w:p>
          <w:p>
            <w:pPr>
              <w:pStyle w:val="8"/>
              <w:spacing w:line="360" w:lineRule="exact"/>
              <w:jc w:val="both"/>
              <w:rPr>
                <w:color w:val="FF0000"/>
                <w:szCs w:val="22"/>
                <w:lang w:val="en-US"/>
              </w:rPr>
            </w:pPr>
            <w:r>
              <w:rPr>
                <w:rFonts w:hint="eastAsia"/>
                <w:color w:val="FF0000"/>
                <w:szCs w:val="22"/>
                <w:lang w:val="en-US"/>
              </w:rPr>
              <w:t>代理费按照国家发展和改革委员会发改价格【2015】299 号文、国家发展计划委员会计价格[2002]1980号文服务类执行，中标人领取中标通知书前全额缴纳于中正信造价咨询有限公司。潜在投标人在报价时应予以考虑。</w:t>
            </w:r>
          </w:p>
          <w:p>
            <w:pPr>
              <w:pStyle w:val="20"/>
              <w:spacing w:line="400" w:lineRule="exact"/>
              <w:ind w:right="41"/>
              <w:jc w:val="both"/>
              <w:rPr>
                <w:sz w:val="24"/>
              </w:rPr>
            </w:pPr>
            <w:r>
              <w:rPr>
                <w:sz w:val="24"/>
              </w:rPr>
              <w:t>3、公证费：由中标人参照 山东省物价局 山东省司法厅 关于印发《山东省公证服务收费管理颁办法》和《山东省公证服务收费标准》的通知 鲁价费发【2017】68号 缴纳。</w:t>
            </w:r>
          </w:p>
        </w:tc>
      </w:tr>
    </w:tbl>
    <w:p>
      <w:pPr>
        <w:pStyle w:val="3"/>
        <w:spacing w:before="42" w:line="480" w:lineRule="exact"/>
        <w:ind w:left="0"/>
      </w:pPr>
      <w:bookmarkStart w:id="29" w:name="_Toc2347_WPSOffice_Level2"/>
    </w:p>
    <w:p>
      <w:pPr>
        <w:pStyle w:val="3"/>
        <w:spacing w:before="42" w:line="480" w:lineRule="exact"/>
        <w:ind w:left="0"/>
      </w:pPr>
    </w:p>
    <w:p>
      <w:pPr>
        <w:pStyle w:val="3"/>
        <w:spacing w:before="42" w:line="480" w:lineRule="exact"/>
        <w:ind w:left="0"/>
      </w:pPr>
    </w:p>
    <w:p>
      <w:pPr>
        <w:pStyle w:val="3"/>
        <w:spacing w:before="42" w:line="480" w:lineRule="exact"/>
        <w:ind w:left="0"/>
      </w:pPr>
      <w:r>
        <w:t>二、说明</w:t>
      </w:r>
      <w:bookmarkEnd w:id="29"/>
    </w:p>
    <w:p>
      <w:pPr>
        <w:pStyle w:val="21"/>
        <w:tabs>
          <w:tab w:val="left" w:pos="1653"/>
        </w:tabs>
        <w:spacing w:line="480" w:lineRule="exact"/>
        <w:ind w:left="0" w:firstLine="0"/>
        <w:outlineLvl w:val="2"/>
      </w:pPr>
      <w:r>
        <w:rPr>
          <w:rFonts w:hint="eastAsia"/>
          <w:spacing w:val="-1"/>
          <w:sz w:val="24"/>
          <w:lang w:val="en-US"/>
        </w:rPr>
        <w:t>1.</w:t>
      </w:r>
      <w:r>
        <w:rPr>
          <w:spacing w:val="-1"/>
          <w:sz w:val="24"/>
        </w:rPr>
        <w:t xml:space="preserve">“招标人”系指依照《中华人民共和国招标投标法》提出本次招标项目， </w:t>
      </w:r>
      <w:r>
        <w:rPr>
          <w:sz w:val="24"/>
        </w:rPr>
        <w:t>接受合同相关服务的单位。</w:t>
      </w:r>
    </w:p>
    <w:p>
      <w:pPr>
        <w:pStyle w:val="21"/>
        <w:tabs>
          <w:tab w:val="left" w:pos="1653"/>
        </w:tabs>
        <w:spacing w:before="4" w:line="480" w:lineRule="exact"/>
        <w:ind w:left="0" w:firstLine="0"/>
        <w:outlineLvl w:val="2"/>
      </w:pPr>
      <w:r>
        <w:rPr>
          <w:rFonts w:hint="eastAsia"/>
          <w:sz w:val="24"/>
          <w:lang w:val="en-US"/>
        </w:rPr>
        <w:t>2.</w:t>
      </w:r>
      <w:r>
        <w:rPr>
          <w:sz w:val="24"/>
        </w:rPr>
        <w:t>“投标人”系指向招标人提交投标文件的物业管理企业。</w:t>
      </w:r>
    </w:p>
    <w:p>
      <w:pPr>
        <w:pStyle w:val="21"/>
        <w:tabs>
          <w:tab w:val="left" w:pos="1773"/>
        </w:tabs>
        <w:spacing w:line="480" w:lineRule="exact"/>
        <w:ind w:left="0" w:right="1089" w:firstLine="0"/>
        <w:outlineLvl w:val="2"/>
      </w:pPr>
      <w:r>
        <w:rPr>
          <w:rFonts w:hint="eastAsia"/>
          <w:spacing w:val="-6"/>
          <w:sz w:val="24"/>
          <w:lang w:val="en-US"/>
        </w:rPr>
        <w:t>3.</w:t>
      </w:r>
      <w:r>
        <w:rPr>
          <w:spacing w:val="-6"/>
          <w:sz w:val="24"/>
        </w:rPr>
        <w:t>“中标人”系指由评审委员会综合评审确定的对招标文件作出实质性响</w:t>
      </w:r>
      <w:r>
        <w:rPr>
          <w:spacing w:val="-4"/>
          <w:sz w:val="24"/>
        </w:rPr>
        <w:t>应较强，综合竞争实力最优，取得与招标人签订合同资格的投标人。</w:t>
      </w:r>
    </w:p>
    <w:p>
      <w:pPr>
        <w:pStyle w:val="21"/>
        <w:tabs>
          <w:tab w:val="left" w:pos="1773"/>
        </w:tabs>
        <w:spacing w:before="5" w:line="480" w:lineRule="exact"/>
        <w:ind w:left="-11" w:firstLine="0"/>
        <w:outlineLvl w:val="2"/>
      </w:pPr>
      <w:r>
        <w:rPr>
          <w:rStyle w:val="40"/>
          <w:rFonts w:hint="eastAsia"/>
          <w:lang w:val="en-US"/>
        </w:rPr>
        <w:t>4.合格投标人</w:t>
      </w:r>
      <w:r>
        <w:rPr>
          <w:spacing w:val="-10"/>
          <w:sz w:val="24"/>
        </w:rPr>
        <w:t xml:space="preserve">见前附表第 </w:t>
      </w:r>
      <w:r>
        <w:rPr>
          <w:sz w:val="24"/>
        </w:rPr>
        <w:t>7</w:t>
      </w:r>
      <w:r>
        <w:rPr>
          <w:spacing w:val="-27"/>
          <w:sz w:val="24"/>
        </w:rPr>
        <w:t xml:space="preserve"> 项。</w:t>
      </w:r>
    </w:p>
    <w:p>
      <w:pPr>
        <w:pStyle w:val="4"/>
        <w:tabs>
          <w:tab w:val="left" w:pos="1775"/>
        </w:tabs>
        <w:spacing w:before="2" w:line="480" w:lineRule="exact"/>
        <w:ind w:left="-11"/>
        <w:rPr>
          <w:rStyle w:val="40"/>
          <w:b/>
          <w:lang w:val="en-US"/>
        </w:rPr>
      </w:pPr>
      <w:r>
        <w:rPr>
          <w:rStyle w:val="40"/>
          <w:rFonts w:hint="eastAsia"/>
          <w:b/>
          <w:lang w:val="en-US"/>
        </w:rPr>
        <w:t>5.投标人投标费用</w:t>
      </w:r>
    </w:p>
    <w:p>
      <w:pPr>
        <w:pStyle w:val="8"/>
        <w:tabs>
          <w:tab w:val="left" w:pos="9240"/>
        </w:tabs>
        <w:spacing w:line="480" w:lineRule="exact"/>
        <w:ind w:hanging="11"/>
      </w:pPr>
      <w:r>
        <w:t>无论报价过程中的方法和结果如何，投标人自行承担所有与参加投标有关的费用。</w:t>
      </w:r>
    </w:p>
    <w:p>
      <w:pPr>
        <w:pStyle w:val="3"/>
        <w:spacing w:before="42" w:line="480" w:lineRule="exact"/>
        <w:ind w:left="0"/>
      </w:pPr>
      <w:bookmarkStart w:id="30" w:name="_bookmark4"/>
      <w:bookmarkEnd w:id="30"/>
      <w:bookmarkStart w:id="31" w:name="三、招标文件"/>
      <w:bookmarkEnd w:id="31"/>
      <w:bookmarkStart w:id="32" w:name="_Toc8965_WPSOffice_Level2"/>
      <w:r>
        <w:t>三、招标文件</w:t>
      </w:r>
      <w:bookmarkEnd w:id="32"/>
    </w:p>
    <w:p>
      <w:pPr>
        <w:pStyle w:val="4"/>
        <w:tabs>
          <w:tab w:val="left" w:pos="1775"/>
        </w:tabs>
        <w:spacing w:before="2" w:line="480" w:lineRule="exact"/>
        <w:ind w:left="-11"/>
        <w:rPr>
          <w:rStyle w:val="40"/>
          <w:b/>
          <w:lang w:val="en-US"/>
        </w:rPr>
      </w:pPr>
      <w:r>
        <w:rPr>
          <w:rStyle w:val="40"/>
          <w:rFonts w:hint="eastAsia"/>
          <w:b/>
          <w:lang w:val="en-US"/>
        </w:rPr>
        <w:t>6.招标文件组成</w:t>
      </w:r>
    </w:p>
    <w:p>
      <w:pPr>
        <w:pStyle w:val="8"/>
        <w:spacing w:line="480" w:lineRule="exact"/>
        <w:ind w:hanging="11"/>
      </w:pPr>
      <w:r>
        <w:t>本招标文件由招标文件目录所列内容组成。</w:t>
      </w:r>
    </w:p>
    <w:p>
      <w:pPr>
        <w:pStyle w:val="3"/>
        <w:spacing w:before="42" w:line="480" w:lineRule="exact"/>
        <w:ind w:left="0"/>
      </w:pPr>
      <w:bookmarkStart w:id="33" w:name="_bookmark5"/>
      <w:bookmarkEnd w:id="33"/>
      <w:bookmarkStart w:id="34" w:name="四、投标文件编写"/>
      <w:bookmarkEnd w:id="34"/>
      <w:bookmarkStart w:id="35" w:name="_Toc22678_WPSOffice_Level2"/>
      <w:r>
        <w:t>四、投标文件编写</w:t>
      </w:r>
      <w:bookmarkEnd w:id="35"/>
    </w:p>
    <w:p>
      <w:pPr>
        <w:pStyle w:val="21"/>
        <w:tabs>
          <w:tab w:val="left" w:pos="2011"/>
          <w:tab w:val="left" w:pos="2012"/>
        </w:tabs>
        <w:spacing w:line="480" w:lineRule="exact"/>
        <w:ind w:left="0" w:firstLine="0"/>
        <w:outlineLvl w:val="2"/>
        <w:rPr>
          <w:b/>
          <w:bCs/>
          <w:sz w:val="24"/>
          <w:szCs w:val="24"/>
        </w:rPr>
      </w:pPr>
      <w:r>
        <w:rPr>
          <w:rFonts w:hint="eastAsia"/>
          <w:b/>
          <w:bCs/>
          <w:sz w:val="24"/>
          <w:szCs w:val="24"/>
          <w:lang w:val="en-US"/>
        </w:rPr>
        <w:t>7.</w:t>
      </w:r>
      <w:r>
        <w:rPr>
          <w:b/>
          <w:bCs/>
          <w:sz w:val="24"/>
          <w:szCs w:val="24"/>
        </w:rPr>
        <w:t>报价语言及计量单位</w:t>
      </w:r>
    </w:p>
    <w:p>
      <w:pPr>
        <w:pStyle w:val="21"/>
        <w:tabs>
          <w:tab w:val="left" w:pos="2011"/>
          <w:tab w:val="left" w:pos="2012"/>
        </w:tabs>
        <w:spacing w:line="480" w:lineRule="exact"/>
        <w:ind w:left="0" w:firstLine="240" w:firstLineChars="100"/>
        <w:rPr>
          <w:sz w:val="24"/>
        </w:rPr>
      </w:pPr>
      <w:r>
        <w:rPr>
          <w:rFonts w:hint="eastAsia"/>
          <w:sz w:val="24"/>
          <w:lang w:val="en-US"/>
        </w:rPr>
        <w:t xml:space="preserve">7.1 </w:t>
      </w:r>
      <w:r>
        <w:rPr>
          <w:sz w:val="24"/>
        </w:rPr>
        <w:t>投标人和招标人或委托的招标代理机构就来往信函使用中文。</w:t>
      </w:r>
    </w:p>
    <w:p>
      <w:pPr>
        <w:pStyle w:val="21"/>
        <w:tabs>
          <w:tab w:val="left" w:pos="2011"/>
          <w:tab w:val="left" w:pos="2012"/>
        </w:tabs>
        <w:spacing w:line="480" w:lineRule="exact"/>
        <w:ind w:left="-11" w:right="1089" w:firstLine="224" w:firstLineChars="100"/>
        <w:rPr>
          <w:sz w:val="24"/>
        </w:rPr>
      </w:pPr>
      <w:r>
        <w:rPr>
          <w:rFonts w:hint="eastAsia"/>
          <w:spacing w:val="-8"/>
          <w:sz w:val="24"/>
          <w:lang w:val="en-US"/>
        </w:rPr>
        <w:t xml:space="preserve">7.2 </w:t>
      </w:r>
      <w:r>
        <w:rPr>
          <w:spacing w:val="-8"/>
          <w:sz w:val="24"/>
        </w:rPr>
        <w:t>除招标文件的技术规格中另有规定外，投标文件中所使用的计量单位应</w:t>
      </w:r>
      <w:r>
        <w:rPr>
          <w:sz w:val="24"/>
        </w:rPr>
        <w:t>使用中华人民共和国法定计量单位。</w:t>
      </w:r>
    </w:p>
    <w:p>
      <w:pPr>
        <w:pStyle w:val="4"/>
        <w:tabs>
          <w:tab w:val="left" w:pos="1775"/>
        </w:tabs>
        <w:spacing w:line="480" w:lineRule="exact"/>
        <w:ind w:left="-11"/>
        <w:rPr>
          <w:bCs/>
          <w:sz w:val="24"/>
          <w:szCs w:val="24"/>
        </w:rPr>
      </w:pPr>
      <w:r>
        <w:rPr>
          <w:rFonts w:hint="eastAsia"/>
          <w:bCs/>
          <w:sz w:val="24"/>
          <w:szCs w:val="24"/>
          <w:lang w:val="en-US"/>
        </w:rPr>
        <w:t>8.</w:t>
      </w:r>
      <w:r>
        <w:rPr>
          <w:bCs/>
          <w:sz w:val="24"/>
          <w:szCs w:val="24"/>
        </w:rPr>
        <w:t>投标文件组成</w:t>
      </w:r>
    </w:p>
    <w:p>
      <w:pPr>
        <w:pStyle w:val="21"/>
        <w:tabs>
          <w:tab w:val="left" w:pos="1832"/>
          <w:tab w:val="left" w:pos="4231"/>
        </w:tabs>
        <w:spacing w:line="480" w:lineRule="exact"/>
        <w:ind w:left="0" w:firstLine="240" w:firstLineChars="100"/>
        <w:rPr>
          <w:b/>
          <w:sz w:val="24"/>
        </w:rPr>
      </w:pPr>
      <w:r>
        <w:rPr>
          <w:rFonts w:hint="eastAsia"/>
          <w:sz w:val="24"/>
          <w:lang w:val="en-US"/>
        </w:rPr>
        <w:t xml:space="preserve">8.1 </w:t>
      </w:r>
      <w:r>
        <w:rPr>
          <w:sz w:val="24"/>
        </w:rPr>
        <w:t>投标函及商务文件</w:t>
      </w:r>
      <w:r>
        <w:rPr>
          <w:b/>
          <w:sz w:val="24"/>
        </w:rPr>
        <w:t>应包含下列内容，但不限于</w:t>
      </w:r>
    </w:p>
    <w:tbl>
      <w:tblPr>
        <w:tblStyle w:val="19"/>
        <w:tblW w:w="9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top"/>
          </w:tcPr>
          <w:p>
            <w:pPr>
              <w:pStyle w:val="21"/>
              <w:tabs>
                <w:tab w:val="left" w:pos="1832"/>
                <w:tab w:val="left" w:pos="4231"/>
              </w:tabs>
              <w:spacing w:line="480" w:lineRule="exact"/>
              <w:ind w:left="0" w:firstLine="0"/>
              <w:jc w:val="center"/>
              <w:rPr>
                <w:b/>
                <w:sz w:val="24"/>
              </w:rPr>
            </w:pPr>
            <w:r>
              <w:rPr>
                <w:rFonts w:hint="eastAsia"/>
                <w:b/>
                <w:sz w:val="24"/>
              </w:rPr>
              <w:t>序号</w:t>
            </w:r>
          </w:p>
        </w:tc>
        <w:tc>
          <w:tcPr>
            <w:tcW w:w="8605" w:type="dxa"/>
            <w:vAlign w:val="top"/>
          </w:tcPr>
          <w:p>
            <w:pPr>
              <w:pStyle w:val="21"/>
              <w:tabs>
                <w:tab w:val="left" w:pos="1832"/>
                <w:tab w:val="left" w:pos="4231"/>
              </w:tabs>
              <w:spacing w:line="480" w:lineRule="exact"/>
              <w:ind w:left="0" w:firstLine="0"/>
              <w:jc w:val="center"/>
              <w:rPr>
                <w:b/>
                <w:sz w:val="24"/>
              </w:rPr>
            </w:pPr>
            <w:r>
              <w:rPr>
                <w:rFonts w:hint="eastAsia"/>
                <w:b/>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top"/>
          </w:tcPr>
          <w:p>
            <w:pPr>
              <w:pStyle w:val="21"/>
              <w:tabs>
                <w:tab w:val="left" w:pos="1832"/>
                <w:tab w:val="left" w:pos="4231"/>
              </w:tabs>
              <w:spacing w:line="480" w:lineRule="exact"/>
              <w:ind w:left="0" w:firstLine="0"/>
              <w:jc w:val="center"/>
              <w:rPr>
                <w:b/>
                <w:sz w:val="24"/>
                <w:lang w:val="en-US"/>
              </w:rPr>
            </w:pPr>
            <w:r>
              <w:rPr>
                <w:rFonts w:hint="eastAsia"/>
                <w:b/>
                <w:sz w:val="24"/>
                <w:lang w:val="en-US"/>
              </w:rPr>
              <w:t>1</w:t>
            </w:r>
          </w:p>
        </w:tc>
        <w:tc>
          <w:tcPr>
            <w:tcW w:w="8605" w:type="dxa"/>
            <w:vAlign w:val="top"/>
          </w:tcPr>
          <w:p>
            <w:pPr>
              <w:pStyle w:val="20"/>
              <w:spacing w:before="112"/>
              <w:jc w:val="both"/>
              <w:rPr>
                <w:b/>
                <w:sz w:val="24"/>
              </w:rPr>
            </w:pPr>
            <w:r>
              <w:rPr>
                <w:sz w:val="24"/>
              </w:rPr>
              <w:t>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top"/>
          </w:tcPr>
          <w:p>
            <w:pPr>
              <w:pStyle w:val="21"/>
              <w:tabs>
                <w:tab w:val="left" w:pos="1832"/>
                <w:tab w:val="left" w:pos="4231"/>
              </w:tabs>
              <w:spacing w:line="480" w:lineRule="exact"/>
              <w:ind w:left="0" w:firstLine="0"/>
              <w:jc w:val="center"/>
              <w:rPr>
                <w:b/>
                <w:sz w:val="24"/>
                <w:lang w:val="en-US"/>
              </w:rPr>
            </w:pPr>
            <w:r>
              <w:rPr>
                <w:rFonts w:hint="eastAsia"/>
                <w:b/>
                <w:sz w:val="24"/>
                <w:lang w:val="en-US"/>
              </w:rPr>
              <w:t>2</w:t>
            </w:r>
          </w:p>
        </w:tc>
        <w:tc>
          <w:tcPr>
            <w:tcW w:w="8605" w:type="dxa"/>
            <w:vAlign w:val="top"/>
          </w:tcPr>
          <w:p>
            <w:pPr>
              <w:pStyle w:val="20"/>
              <w:spacing w:before="113"/>
              <w:jc w:val="both"/>
              <w:rPr>
                <w:b/>
                <w:sz w:val="24"/>
              </w:rPr>
            </w:pPr>
            <w:r>
              <w:rPr>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top"/>
          </w:tcPr>
          <w:p>
            <w:pPr>
              <w:pStyle w:val="21"/>
              <w:tabs>
                <w:tab w:val="left" w:pos="1832"/>
                <w:tab w:val="left" w:pos="4231"/>
              </w:tabs>
              <w:spacing w:line="480" w:lineRule="exact"/>
              <w:ind w:left="0" w:firstLine="0"/>
              <w:jc w:val="center"/>
              <w:rPr>
                <w:b/>
                <w:sz w:val="24"/>
                <w:lang w:val="en-US"/>
              </w:rPr>
            </w:pPr>
            <w:r>
              <w:rPr>
                <w:rFonts w:hint="eastAsia"/>
                <w:b/>
                <w:sz w:val="24"/>
                <w:lang w:val="en-US"/>
              </w:rPr>
              <w:t>3</w:t>
            </w:r>
          </w:p>
        </w:tc>
        <w:tc>
          <w:tcPr>
            <w:tcW w:w="8605" w:type="dxa"/>
            <w:vAlign w:val="top"/>
          </w:tcPr>
          <w:p>
            <w:pPr>
              <w:pStyle w:val="20"/>
              <w:spacing w:before="112"/>
              <w:jc w:val="both"/>
              <w:rPr>
                <w:b/>
                <w:sz w:val="24"/>
              </w:rPr>
            </w:pPr>
            <w:r>
              <w:rPr>
                <w:sz w:val="24"/>
              </w:rPr>
              <w:t>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top"/>
          </w:tcPr>
          <w:p>
            <w:pPr>
              <w:pStyle w:val="21"/>
              <w:tabs>
                <w:tab w:val="left" w:pos="1832"/>
                <w:tab w:val="left" w:pos="4231"/>
              </w:tabs>
              <w:spacing w:line="480" w:lineRule="exact"/>
              <w:ind w:left="0" w:firstLine="0"/>
              <w:jc w:val="center"/>
              <w:rPr>
                <w:b/>
                <w:sz w:val="24"/>
                <w:lang w:val="en-US"/>
              </w:rPr>
            </w:pPr>
            <w:r>
              <w:rPr>
                <w:rFonts w:hint="eastAsia"/>
                <w:b/>
                <w:sz w:val="24"/>
                <w:lang w:val="en-US"/>
              </w:rPr>
              <w:t>4</w:t>
            </w:r>
          </w:p>
        </w:tc>
        <w:tc>
          <w:tcPr>
            <w:tcW w:w="8605" w:type="dxa"/>
            <w:vAlign w:val="top"/>
          </w:tcPr>
          <w:p>
            <w:pPr>
              <w:pStyle w:val="20"/>
              <w:spacing w:before="114"/>
              <w:jc w:val="both"/>
              <w:rPr>
                <w:b/>
                <w:sz w:val="24"/>
              </w:rPr>
            </w:pPr>
            <w:r>
              <w:rPr>
                <w:sz w:val="24"/>
              </w:rPr>
              <w:t>开标一览表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top"/>
          </w:tcPr>
          <w:p>
            <w:pPr>
              <w:pStyle w:val="21"/>
              <w:tabs>
                <w:tab w:val="left" w:pos="1832"/>
                <w:tab w:val="left" w:pos="4231"/>
              </w:tabs>
              <w:spacing w:line="480" w:lineRule="exact"/>
              <w:ind w:left="0" w:firstLine="0"/>
              <w:jc w:val="center"/>
              <w:rPr>
                <w:b/>
                <w:sz w:val="24"/>
                <w:lang w:val="en-US"/>
              </w:rPr>
            </w:pPr>
            <w:r>
              <w:rPr>
                <w:rFonts w:hint="eastAsia"/>
                <w:b/>
                <w:sz w:val="24"/>
                <w:lang w:val="en-US"/>
              </w:rPr>
              <w:t>5</w:t>
            </w:r>
          </w:p>
        </w:tc>
        <w:tc>
          <w:tcPr>
            <w:tcW w:w="8605" w:type="dxa"/>
            <w:vAlign w:val="top"/>
          </w:tcPr>
          <w:p>
            <w:pPr>
              <w:pStyle w:val="20"/>
              <w:spacing w:before="113"/>
              <w:jc w:val="both"/>
              <w:rPr>
                <w:b/>
                <w:sz w:val="24"/>
              </w:rPr>
            </w:pPr>
            <w:r>
              <w:rPr>
                <w:sz w:val="24"/>
              </w:rPr>
              <w:t>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top"/>
          </w:tcPr>
          <w:p>
            <w:pPr>
              <w:pStyle w:val="21"/>
              <w:tabs>
                <w:tab w:val="left" w:pos="1832"/>
                <w:tab w:val="left" w:pos="4231"/>
              </w:tabs>
              <w:spacing w:line="480" w:lineRule="exact"/>
              <w:ind w:left="0" w:firstLine="0"/>
              <w:jc w:val="center"/>
              <w:rPr>
                <w:b/>
                <w:sz w:val="24"/>
                <w:lang w:val="en-US"/>
              </w:rPr>
            </w:pPr>
            <w:r>
              <w:rPr>
                <w:rFonts w:hint="eastAsia"/>
                <w:b/>
                <w:sz w:val="24"/>
                <w:lang w:val="en-US"/>
              </w:rPr>
              <w:t>6</w:t>
            </w:r>
          </w:p>
        </w:tc>
        <w:tc>
          <w:tcPr>
            <w:tcW w:w="8605" w:type="dxa"/>
            <w:vAlign w:val="top"/>
          </w:tcPr>
          <w:p>
            <w:pPr>
              <w:pStyle w:val="20"/>
              <w:spacing w:before="112"/>
              <w:jc w:val="both"/>
              <w:rPr>
                <w:b/>
                <w:sz w:val="24"/>
              </w:rPr>
            </w:pPr>
            <w:r>
              <w:rPr>
                <w:sz w:val="24"/>
              </w:rPr>
              <w:t>基本账户开户许可证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top"/>
          </w:tcPr>
          <w:p>
            <w:pPr>
              <w:pStyle w:val="21"/>
              <w:tabs>
                <w:tab w:val="left" w:pos="1832"/>
                <w:tab w:val="left" w:pos="4231"/>
              </w:tabs>
              <w:spacing w:line="480" w:lineRule="exact"/>
              <w:ind w:left="0" w:firstLine="0"/>
              <w:jc w:val="center"/>
              <w:rPr>
                <w:b/>
                <w:sz w:val="24"/>
                <w:lang w:val="en-US"/>
              </w:rPr>
            </w:pPr>
            <w:r>
              <w:rPr>
                <w:rFonts w:hint="eastAsia"/>
                <w:b/>
                <w:sz w:val="24"/>
                <w:lang w:val="en-US"/>
              </w:rPr>
              <w:t>7</w:t>
            </w:r>
          </w:p>
        </w:tc>
        <w:tc>
          <w:tcPr>
            <w:tcW w:w="8605" w:type="dxa"/>
            <w:vAlign w:val="top"/>
          </w:tcPr>
          <w:p>
            <w:pPr>
              <w:pStyle w:val="20"/>
              <w:spacing w:before="113"/>
              <w:jc w:val="both"/>
              <w:rPr>
                <w:b/>
                <w:sz w:val="24"/>
              </w:rPr>
            </w:pPr>
            <w:r>
              <w:rPr>
                <w:sz w:val="24"/>
              </w:rPr>
              <w:t>拟从事本项目技术人员一览表（附证书）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top"/>
          </w:tcPr>
          <w:p>
            <w:pPr>
              <w:pStyle w:val="21"/>
              <w:tabs>
                <w:tab w:val="left" w:pos="1832"/>
                <w:tab w:val="left" w:pos="4231"/>
              </w:tabs>
              <w:spacing w:line="480" w:lineRule="exact"/>
              <w:ind w:left="0" w:firstLine="0"/>
              <w:jc w:val="center"/>
              <w:rPr>
                <w:b/>
                <w:sz w:val="24"/>
                <w:lang w:val="en-US"/>
              </w:rPr>
            </w:pPr>
            <w:r>
              <w:rPr>
                <w:rFonts w:hint="eastAsia"/>
                <w:b/>
                <w:sz w:val="24"/>
                <w:lang w:val="en-US"/>
              </w:rPr>
              <w:t>8</w:t>
            </w:r>
          </w:p>
        </w:tc>
        <w:tc>
          <w:tcPr>
            <w:tcW w:w="8605" w:type="dxa"/>
            <w:vAlign w:val="top"/>
          </w:tcPr>
          <w:p>
            <w:pPr>
              <w:pStyle w:val="20"/>
              <w:spacing w:before="112"/>
              <w:jc w:val="both"/>
              <w:rPr>
                <w:b/>
                <w:sz w:val="24"/>
              </w:rPr>
            </w:pPr>
            <w:r>
              <w:rPr>
                <w:sz w:val="24"/>
              </w:rPr>
              <w:t>近三年从事项目情况一览表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top"/>
          </w:tcPr>
          <w:p>
            <w:pPr>
              <w:pStyle w:val="21"/>
              <w:tabs>
                <w:tab w:val="left" w:pos="1832"/>
                <w:tab w:val="left" w:pos="4231"/>
              </w:tabs>
              <w:spacing w:line="480" w:lineRule="exact"/>
              <w:ind w:left="0" w:firstLine="0"/>
              <w:jc w:val="center"/>
              <w:rPr>
                <w:b/>
                <w:sz w:val="24"/>
                <w:lang w:val="en-US"/>
              </w:rPr>
            </w:pPr>
            <w:r>
              <w:rPr>
                <w:rFonts w:hint="eastAsia"/>
                <w:b/>
                <w:sz w:val="24"/>
                <w:lang w:val="en-US"/>
              </w:rPr>
              <w:t>9</w:t>
            </w:r>
          </w:p>
        </w:tc>
        <w:tc>
          <w:tcPr>
            <w:tcW w:w="8605" w:type="dxa"/>
            <w:vAlign w:val="top"/>
          </w:tcPr>
          <w:p>
            <w:pPr>
              <w:pStyle w:val="20"/>
              <w:spacing w:before="1" w:line="440" w:lineRule="exact"/>
              <w:ind w:right="-29"/>
              <w:jc w:val="both"/>
              <w:rPr>
                <w:b/>
                <w:sz w:val="24"/>
              </w:rPr>
            </w:pPr>
            <w:r>
              <w:rPr>
                <w:sz w:val="24"/>
              </w:rPr>
              <w:t>2015 年度、2016 年度、2017 年度年度财务报表（含资产负债表及利润表，</w:t>
            </w:r>
            <w:r>
              <w:rPr>
                <w:rFonts w:hint="eastAsia"/>
                <w:sz w:val="24"/>
                <w:lang w:val="en-US"/>
              </w:rPr>
              <w:t>必须</w:t>
            </w:r>
            <w:r>
              <w:rPr>
                <w:sz w:val="24"/>
              </w:rPr>
              <w:t>提供会计师事务所出具的《审计报告》</w:t>
            </w:r>
            <w:r>
              <w:rPr>
                <w:rFonts w:hint="eastAsia"/>
                <w:sz w:val="24"/>
                <w:lang w:val="en-US"/>
              </w:rPr>
              <w:t>原件</w:t>
            </w:r>
            <w:r>
              <w:rPr>
                <w:rFonts w:hint="eastAsia"/>
                <w:sz w:val="24"/>
              </w:rPr>
              <w:t>或复印件加盖公章</w:t>
            </w:r>
            <w:r>
              <w:rPr>
                <w:sz w:val="24"/>
              </w:rPr>
              <w:t>），新成立公司以成立年限为准。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top"/>
          </w:tcPr>
          <w:p>
            <w:pPr>
              <w:pStyle w:val="21"/>
              <w:tabs>
                <w:tab w:val="left" w:pos="1832"/>
                <w:tab w:val="left" w:pos="4231"/>
              </w:tabs>
              <w:spacing w:line="480" w:lineRule="exact"/>
              <w:ind w:left="0" w:firstLine="0"/>
              <w:jc w:val="center"/>
              <w:rPr>
                <w:b/>
                <w:sz w:val="24"/>
                <w:lang w:val="en-US"/>
              </w:rPr>
            </w:pPr>
            <w:r>
              <w:rPr>
                <w:rFonts w:hint="eastAsia"/>
                <w:b/>
                <w:sz w:val="24"/>
                <w:lang w:val="en-US"/>
              </w:rPr>
              <w:t>10</w:t>
            </w:r>
          </w:p>
        </w:tc>
        <w:tc>
          <w:tcPr>
            <w:tcW w:w="8605" w:type="dxa"/>
            <w:vAlign w:val="top"/>
          </w:tcPr>
          <w:p>
            <w:pPr>
              <w:pStyle w:val="20"/>
              <w:spacing w:before="113"/>
              <w:jc w:val="both"/>
              <w:rPr>
                <w:b/>
                <w:sz w:val="24"/>
              </w:rPr>
            </w:pPr>
            <w:r>
              <w:rPr>
                <w:sz w:val="24"/>
              </w:rPr>
              <w:t>投标人概况表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top"/>
          </w:tcPr>
          <w:p>
            <w:pPr>
              <w:pStyle w:val="21"/>
              <w:tabs>
                <w:tab w:val="left" w:pos="1832"/>
                <w:tab w:val="left" w:pos="4231"/>
              </w:tabs>
              <w:spacing w:line="480" w:lineRule="exact"/>
              <w:ind w:left="0" w:firstLine="0"/>
              <w:jc w:val="center"/>
              <w:rPr>
                <w:b/>
                <w:sz w:val="24"/>
                <w:lang w:val="en-US"/>
              </w:rPr>
            </w:pPr>
            <w:r>
              <w:rPr>
                <w:rFonts w:hint="eastAsia"/>
                <w:b/>
                <w:sz w:val="24"/>
                <w:lang w:val="en-US"/>
              </w:rPr>
              <w:t>11</w:t>
            </w:r>
          </w:p>
        </w:tc>
        <w:tc>
          <w:tcPr>
            <w:tcW w:w="8605" w:type="dxa"/>
            <w:vAlign w:val="top"/>
          </w:tcPr>
          <w:p>
            <w:pPr>
              <w:pStyle w:val="20"/>
              <w:spacing w:before="112"/>
              <w:jc w:val="both"/>
              <w:rPr>
                <w:b/>
                <w:sz w:val="24"/>
              </w:rPr>
            </w:pPr>
            <w:r>
              <w:rPr>
                <w:sz w:val="24"/>
              </w:rPr>
              <w:t>投标人认为有必要说明的其他资料</w:t>
            </w:r>
          </w:p>
        </w:tc>
      </w:tr>
    </w:tbl>
    <w:p>
      <w:pPr>
        <w:pStyle w:val="21"/>
        <w:tabs>
          <w:tab w:val="left" w:pos="1832"/>
          <w:tab w:val="left" w:pos="4231"/>
        </w:tabs>
        <w:spacing w:line="480" w:lineRule="exact"/>
        <w:ind w:left="0" w:firstLine="0"/>
        <w:outlineLvl w:val="2"/>
        <w:rPr>
          <w:b/>
          <w:sz w:val="24"/>
        </w:rPr>
      </w:pPr>
      <w:r>
        <w:rPr>
          <w:rFonts w:hint="eastAsia"/>
          <w:b/>
          <w:sz w:val="24"/>
          <w:lang w:val="en-US"/>
        </w:rPr>
        <w:t xml:space="preserve">9.技术文件 </w:t>
      </w:r>
      <w:r>
        <w:rPr>
          <w:b/>
          <w:sz w:val="24"/>
        </w:rPr>
        <w:t>应包含下列内容，但不限于</w:t>
      </w:r>
    </w:p>
    <w:p>
      <w:pPr>
        <w:spacing w:line="360" w:lineRule="auto"/>
        <w:ind w:firstLine="230" w:firstLineChars="100"/>
        <w:rPr>
          <w:spacing w:val="-5"/>
          <w:sz w:val="24"/>
        </w:rPr>
      </w:pPr>
      <w:r>
        <w:rPr>
          <w:rFonts w:hint="eastAsia"/>
          <w:spacing w:val="-5"/>
          <w:sz w:val="24"/>
        </w:rPr>
        <w:t>9.1提供中华人民共和国医疗机构执业许可证，提供第三方医学实验室服务综合能力的相关资料。</w:t>
      </w:r>
    </w:p>
    <w:p>
      <w:pPr>
        <w:spacing w:line="360" w:lineRule="auto"/>
        <w:ind w:firstLine="230" w:firstLineChars="100"/>
        <w:rPr>
          <w:spacing w:val="-5"/>
          <w:sz w:val="24"/>
        </w:rPr>
      </w:pPr>
      <w:r>
        <w:rPr>
          <w:rFonts w:hint="eastAsia"/>
          <w:spacing w:val="-5"/>
          <w:sz w:val="24"/>
        </w:rPr>
        <w:t>9.2提供</w:t>
      </w:r>
      <w:r>
        <w:rPr>
          <w:spacing w:val="-5"/>
          <w:sz w:val="24"/>
        </w:rPr>
        <w:t>CAP</w:t>
      </w:r>
      <w:r>
        <w:rPr>
          <w:rFonts w:hint="eastAsia"/>
          <w:spacing w:val="-5"/>
          <w:sz w:val="24"/>
        </w:rPr>
        <w:t>和</w:t>
      </w:r>
      <w:r>
        <w:rPr>
          <w:spacing w:val="-5"/>
          <w:sz w:val="24"/>
        </w:rPr>
        <w:t>ISO15189</w:t>
      </w:r>
      <w:r>
        <w:rPr>
          <w:rFonts w:hint="eastAsia"/>
          <w:spacing w:val="-5"/>
          <w:sz w:val="24"/>
        </w:rPr>
        <w:t>认可的第三方医学实验室证件；基因扩增项目有临床基因扩增检验实验室技术审核合格证。</w:t>
      </w:r>
    </w:p>
    <w:p>
      <w:pPr>
        <w:spacing w:line="360" w:lineRule="auto"/>
        <w:ind w:firstLine="230" w:firstLineChars="100"/>
        <w:rPr>
          <w:spacing w:val="-5"/>
          <w:sz w:val="24"/>
        </w:rPr>
      </w:pPr>
      <w:r>
        <w:rPr>
          <w:rFonts w:hint="eastAsia"/>
          <w:spacing w:val="-5"/>
          <w:sz w:val="24"/>
        </w:rPr>
        <w:t>9.3有完善的质量保证体系文件，标本收集、运输、验收相关的支持文件。</w:t>
      </w:r>
    </w:p>
    <w:p>
      <w:pPr>
        <w:spacing w:line="360" w:lineRule="auto"/>
        <w:ind w:firstLine="230" w:firstLineChars="100"/>
        <w:rPr>
          <w:spacing w:val="-5"/>
          <w:sz w:val="24"/>
        </w:rPr>
      </w:pPr>
      <w:r>
        <w:rPr>
          <w:rFonts w:hint="eastAsia"/>
          <w:spacing w:val="-5"/>
          <w:sz w:val="24"/>
        </w:rPr>
        <w:t>9.4提供近三年的实验室室内质控相关的资料、参加国家或省的室间质评相关的材料，未开展室间质评的项目有实验室比对资料。</w:t>
      </w:r>
    </w:p>
    <w:p>
      <w:pPr>
        <w:spacing w:line="360" w:lineRule="auto"/>
        <w:ind w:firstLine="230" w:firstLineChars="100"/>
        <w:rPr>
          <w:spacing w:val="-5"/>
          <w:sz w:val="24"/>
        </w:rPr>
      </w:pPr>
      <w:r>
        <w:rPr>
          <w:rFonts w:hint="eastAsia"/>
          <w:spacing w:val="-5"/>
          <w:sz w:val="24"/>
        </w:rPr>
        <w:t>9.5</w:t>
      </w:r>
      <w:r>
        <w:rPr>
          <w:rFonts w:hint="eastAsia"/>
          <w:spacing w:val="-5"/>
          <w:sz w:val="24"/>
          <w:lang w:val="en-US"/>
        </w:rPr>
        <w:t>外包项目清单中的所有项目</w:t>
      </w:r>
      <w:r>
        <w:rPr>
          <w:rFonts w:hint="eastAsia"/>
          <w:spacing w:val="-5"/>
          <w:sz w:val="24"/>
        </w:rPr>
        <w:t>必须能独自完成不得转包。</w:t>
      </w:r>
    </w:p>
    <w:p>
      <w:pPr>
        <w:spacing w:line="360" w:lineRule="auto"/>
        <w:ind w:firstLine="230" w:firstLineChars="100"/>
        <w:rPr>
          <w:spacing w:val="-5"/>
          <w:sz w:val="24"/>
        </w:rPr>
      </w:pPr>
      <w:r>
        <w:rPr>
          <w:rFonts w:hint="eastAsia"/>
          <w:spacing w:val="-5"/>
          <w:sz w:val="24"/>
        </w:rPr>
        <w:t>9.6提供常规项目及特殊项目的报告时限（项目见外包项目清单）。</w:t>
      </w:r>
    </w:p>
    <w:p>
      <w:pPr>
        <w:spacing w:line="360" w:lineRule="auto"/>
        <w:ind w:firstLine="230" w:firstLineChars="100"/>
        <w:rPr>
          <w:spacing w:val="-5"/>
          <w:sz w:val="24"/>
        </w:rPr>
      </w:pPr>
      <w:r>
        <w:rPr>
          <w:rFonts w:hint="eastAsia"/>
          <w:spacing w:val="-5"/>
          <w:sz w:val="24"/>
        </w:rPr>
        <w:t>9.7有完善的实验室与外包用户的检验结果报告信息系统。</w:t>
      </w:r>
    </w:p>
    <w:p>
      <w:pPr>
        <w:spacing w:line="360" w:lineRule="auto"/>
        <w:ind w:firstLine="230" w:firstLineChars="100"/>
        <w:rPr>
          <w:spacing w:val="-5"/>
          <w:sz w:val="24"/>
        </w:rPr>
      </w:pPr>
      <w:r>
        <w:rPr>
          <w:rFonts w:hint="eastAsia"/>
          <w:spacing w:val="-5"/>
          <w:sz w:val="24"/>
        </w:rPr>
        <w:t>9.8近5年承担的二级及以上医院的合作协议。</w:t>
      </w:r>
    </w:p>
    <w:p>
      <w:pPr>
        <w:spacing w:line="360" w:lineRule="auto"/>
        <w:ind w:firstLine="230" w:firstLineChars="100"/>
        <w:rPr>
          <w:spacing w:val="-5"/>
          <w:sz w:val="24"/>
        </w:rPr>
      </w:pPr>
      <w:r>
        <w:rPr>
          <w:rFonts w:hint="eastAsia"/>
          <w:spacing w:val="-5"/>
          <w:sz w:val="24"/>
        </w:rPr>
        <w:t>9.9第三方医学实验室检验项目结算扣率</w:t>
      </w:r>
    </w:p>
    <w:p>
      <w:pPr>
        <w:spacing w:line="360" w:lineRule="auto"/>
        <w:ind w:firstLine="230" w:firstLineChars="100"/>
        <w:rPr>
          <w:spacing w:val="-5"/>
          <w:sz w:val="24"/>
        </w:rPr>
      </w:pPr>
      <w:r>
        <w:rPr>
          <w:rFonts w:hint="eastAsia"/>
          <w:spacing w:val="-5"/>
          <w:sz w:val="24"/>
        </w:rPr>
        <w:t>9.10第三方医学实验室严格履行合同。承担有外包检验项目质量问题产生的医疗纠纷。</w:t>
      </w:r>
    </w:p>
    <w:p>
      <w:pPr>
        <w:pStyle w:val="21"/>
        <w:tabs>
          <w:tab w:val="left" w:pos="1832"/>
          <w:tab w:val="left" w:pos="4231"/>
        </w:tabs>
        <w:spacing w:line="480" w:lineRule="exact"/>
        <w:ind w:left="0" w:firstLine="0"/>
        <w:outlineLvl w:val="2"/>
        <w:rPr>
          <w:b/>
          <w:sz w:val="24"/>
          <w:lang w:val="en-US"/>
        </w:rPr>
      </w:pPr>
      <w:r>
        <w:rPr>
          <w:rFonts w:hint="eastAsia"/>
          <w:b/>
          <w:sz w:val="24"/>
          <w:lang w:val="en-US"/>
        </w:rPr>
        <w:t>10.报价</w:t>
      </w:r>
    </w:p>
    <w:p>
      <w:pPr>
        <w:pStyle w:val="21"/>
        <w:tabs>
          <w:tab w:val="left" w:pos="1892"/>
        </w:tabs>
        <w:spacing w:line="480" w:lineRule="exact"/>
        <w:ind w:left="0" w:firstLine="238" w:firstLineChars="100"/>
        <w:rPr>
          <w:spacing w:val="-1"/>
          <w:sz w:val="24"/>
        </w:rPr>
      </w:pPr>
      <w:r>
        <w:rPr>
          <w:rFonts w:hint="eastAsia"/>
          <w:spacing w:val="-1"/>
          <w:sz w:val="24"/>
          <w:lang w:val="en-US"/>
        </w:rPr>
        <w:t xml:space="preserve">10.1 </w:t>
      </w:r>
      <w:r>
        <w:rPr>
          <w:spacing w:val="-1"/>
          <w:sz w:val="24"/>
        </w:rPr>
        <w:t>本次报价为一次性报价。</w:t>
      </w:r>
    </w:p>
    <w:p>
      <w:pPr>
        <w:pStyle w:val="21"/>
        <w:tabs>
          <w:tab w:val="left" w:pos="1892"/>
        </w:tabs>
        <w:spacing w:line="480" w:lineRule="exact"/>
        <w:ind w:left="0" w:firstLine="238" w:firstLineChars="100"/>
        <w:rPr>
          <w:spacing w:val="-1"/>
          <w:sz w:val="24"/>
        </w:rPr>
      </w:pPr>
      <w:r>
        <w:rPr>
          <w:rFonts w:hint="eastAsia"/>
          <w:spacing w:val="-1"/>
          <w:sz w:val="24"/>
          <w:lang w:val="en-US"/>
        </w:rPr>
        <w:t xml:space="preserve">10.2 </w:t>
      </w:r>
      <w:r>
        <w:rPr>
          <w:spacing w:val="-1"/>
          <w:sz w:val="24"/>
        </w:rPr>
        <w:t>招标过程中招标文件有实质性变动的，招标代理机构将通知所有参与投标的投标人，投标人据此再次报价。</w:t>
      </w:r>
    </w:p>
    <w:p>
      <w:pPr>
        <w:pStyle w:val="21"/>
        <w:tabs>
          <w:tab w:val="left" w:pos="1892"/>
        </w:tabs>
        <w:spacing w:before="2" w:line="480" w:lineRule="exact"/>
        <w:ind w:left="0" w:firstLine="240" w:firstLineChars="100"/>
        <w:rPr>
          <w:sz w:val="24"/>
        </w:rPr>
      </w:pPr>
      <w:r>
        <w:rPr>
          <w:rFonts w:hint="eastAsia"/>
          <w:sz w:val="24"/>
          <w:lang w:val="en-US"/>
        </w:rPr>
        <w:t xml:space="preserve">10.3 </w:t>
      </w:r>
      <w:r>
        <w:rPr>
          <w:sz w:val="24"/>
        </w:rPr>
        <w:t>投标价格应包括完成招标文件所确定的服务工作内容的全部费用。</w:t>
      </w:r>
    </w:p>
    <w:p>
      <w:pPr>
        <w:pStyle w:val="21"/>
        <w:tabs>
          <w:tab w:val="left" w:pos="1892"/>
        </w:tabs>
        <w:spacing w:line="480" w:lineRule="exact"/>
        <w:ind w:left="0" w:firstLine="238" w:firstLineChars="100"/>
        <w:rPr>
          <w:sz w:val="24"/>
        </w:rPr>
      </w:pPr>
      <w:r>
        <w:rPr>
          <w:rFonts w:hint="eastAsia"/>
          <w:spacing w:val="-1"/>
          <w:sz w:val="24"/>
          <w:lang w:val="en-US"/>
        </w:rPr>
        <w:t xml:space="preserve">10.4 </w:t>
      </w:r>
      <w:r>
        <w:rPr>
          <w:spacing w:val="-1"/>
          <w:sz w:val="24"/>
        </w:rPr>
        <w:t>投标人应按照国家有关标准，结合本单位及项目实际情况，充分考虑市</w:t>
      </w:r>
      <w:r>
        <w:rPr>
          <w:sz w:val="24"/>
        </w:rPr>
        <w:t>场行情，自主报价。但报价不得超过本项目的控制价，否则按无效标处理。</w:t>
      </w:r>
    </w:p>
    <w:p>
      <w:pPr>
        <w:pStyle w:val="21"/>
        <w:tabs>
          <w:tab w:val="left" w:pos="2011"/>
          <w:tab w:val="left" w:pos="2012"/>
        </w:tabs>
        <w:spacing w:before="2" w:line="480" w:lineRule="exact"/>
        <w:ind w:left="0" w:firstLine="240" w:firstLineChars="100"/>
        <w:rPr>
          <w:sz w:val="24"/>
        </w:rPr>
      </w:pPr>
      <w:r>
        <w:rPr>
          <w:rFonts w:hint="eastAsia"/>
          <w:sz w:val="24"/>
          <w:lang w:val="en-US"/>
        </w:rPr>
        <w:t xml:space="preserve">10.5 </w:t>
      </w:r>
      <w:r>
        <w:rPr>
          <w:sz w:val="24"/>
        </w:rPr>
        <w:t>报价币种为人民币</w:t>
      </w:r>
    </w:p>
    <w:p>
      <w:pPr>
        <w:pStyle w:val="21"/>
        <w:tabs>
          <w:tab w:val="left" w:pos="2011"/>
          <w:tab w:val="left" w:pos="2012"/>
        </w:tabs>
        <w:spacing w:line="480" w:lineRule="exact"/>
        <w:ind w:left="0" w:firstLine="240" w:firstLineChars="100"/>
        <w:rPr>
          <w:sz w:val="24"/>
        </w:rPr>
      </w:pPr>
      <w:r>
        <w:rPr>
          <w:rFonts w:hint="eastAsia"/>
          <w:sz w:val="24"/>
          <w:lang w:val="en-US"/>
        </w:rPr>
        <w:t xml:space="preserve">10.6 </w:t>
      </w:r>
      <w:r>
        <w:rPr>
          <w:sz w:val="24"/>
        </w:rPr>
        <w:t>单独密封的报价一览表与投标文件正本不符，以报价一览表为准。</w:t>
      </w:r>
    </w:p>
    <w:p>
      <w:pPr>
        <w:pStyle w:val="21"/>
        <w:tabs>
          <w:tab w:val="left" w:pos="2011"/>
          <w:tab w:val="left" w:pos="2012"/>
        </w:tabs>
        <w:spacing w:line="480" w:lineRule="exact"/>
        <w:ind w:left="0" w:firstLine="226" w:firstLineChars="100"/>
        <w:rPr>
          <w:sz w:val="24"/>
        </w:rPr>
      </w:pPr>
      <w:r>
        <w:rPr>
          <w:rFonts w:hint="eastAsia"/>
          <w:spacing w:val="-7"/>
          <w:sz w:val="24"/>
          <w:lang w:val="en-US"/>
        </w:rPr>
        <w:t xml:space="preserve">10.7 </w:t>
      </w:r>
      <w:r>
        <w:rPr>
          <w:spacing w:val="-7"/>
          <w:sz w:val="24"/>
        </w:rPr>
        <w:t>如果大写的金额和小写的金额不一致时，以大写的金额为准</w:t>
      </w:r>
      <w:r>
        <w:rPr>
          <w:spacing w:val="-3"/>
          <w:sz w:val="24"/>
        </w:rPr>
        <w:t>（</w:t>
      </w:r>
      <w:r>
        <w:rPr>
          <w:spacing w:val="-4"/>
          <w:sz w:val="24"/>
        </w:rPr>
        <w:t>明显笔误</w:t>
      </w:r>
      <w:r>
        <w:rPr>
          <w:sz w:val="24"/>
        </w:rPr>
        <w:t>除外）。</w:t>
      </w:r>
    </w:p>
    <w:p>
      <w:pPr>
        <w:pStyle w:val="21"/>
        <w:tabs>
          <w:tab w:val="left" w:pos="2011"/>
          <w:tab w:val="left" w:pos="2012"/>
        </w:tabs>
        <w:spacing w:before="4" w:line="480" w:lineRule="exact"/>
        <w:ind w:left="0" w:firstLine="216" w:firstLineChars="100"/>
        <w:rPr>
          <w:sz w:val="24"/>
        </w:rPr>
      </w:pPr>
      <w:r>
        <w:rPr>
          <w:rFonts w:hint="eastAsia"/>
          <w:spacing w:val="-12"/>
          <w:sz w:val="24"/>
          <w:lang w:val="en-US"/>
        </w:rPr>
        <w:t xml:space="preserve">10.8 </w:t>
      </w:r>
      <w:r>
        <w:rPr>
          <w:spacing w:val="-12"/>
          <w:sz w:val="24"/>
        </w:rPr>
        <w:t>本项目报价为含税报价，项目实施过程中发生的一切费用由中标人自行</w:t>
      </w:r>
      <w:r>
        <w:rPr>
          <w:sz w:val="24"/>
        </w:rPr>
        <w:t>负责。</w:t>
      </w:r>
    </w:p>
    <w:p>
      <w:pPr>
        <w:pStyle w:val="21"/>
        <w:tabs>
          <w:tab w:val="left" w:pos="2011"/>
          <w:tab w:val="left" w:pos="2012"/>
        </w:tabs>
        <w:spacing w:line="480" w:lineRule="exact"/>
        <w:ind w:left="0" w:firstLine="227" w:firstLineChars="100"/>
        <w:rPr>
          <w:b/>
          <w:bCs/>
          <w:spacing w:val="-7"/>
          <w:sz w:val="24"/>
        </w:rPr>
      </w:pPr>
      <w:r>
        <w:rPr>
          <w:rFonts w:hint="eastAsia"/>
          <w:b/>
          <w:bCs/>
          <w:spacing w:val="-7"/>
          <w:sz w:val="24"/>
          <w:lang w:val="en-US"/>
        </w:rPr>
        <w:t>10.9</w:t>
      </w:r>
      <w:r>
        <w:rPr>
          <w:b/>
          <w:bCs/>
          <w:spacing w:val="-7"/>
          <w:sz w:val="24"/>
        </w:rPr>
        <w:t>投标人在上传投标文件电子文档时须按要求填写报价，该报价将在公开报价仪式时公开唱价，如电子唱标系统唱出的报价与纸质投标文件正本的报价价格不一致的，则以电子唱标的报价为准。</w:t>
      </w:r>
    </w:p>
    <w:p>
      <w:pPr>
        <w:pStyle w:val="21"/>
        <w:tabs>
          <w:tab w:val="left" w:pos="1832"/>
          <w:tab w:val="left" w:pos="4231"/>
        </w:tabs>
        <w:spacing w:line="480" w:lineRule="exact"/>
        <w:ind w:left="0" w:firstLine="0"/>
        <w:outlineLvl w:val="2"/>
        <w:rPr>
          <w:b/>
          <w:sz w:val="24"/>
          <w:lang w:val="en-US"/>
        </w:rPr>
      </w:pPr>
      <w:r>
        <w:rPr>
          <w:rFonts w:hint="eastAsia"/>
          <w:b/>
          <w:sz w:val="24"/>
          <w:lang w:val="en-US"/>
        </w:rPr>
        <w:t>11.投标文件的编写方式</w:t>
      </w:r>
    </w:p>
    <w:p>
      <w:pPr>
        <w:pStyle w:val="21"/>
        <w:tabs>
          <w:tab w:val="left" w:pos="2011"/>
          <w:tab w:val="left" w:pos="2012"/>
        </w:tabs>
        <w:spacing w:line="480" w:lineRule="exact"/>
        <w:ind w:left="0" w:firstLine="240" w:firstLineChars="100"/>
        <w:rPr>
          <w:sz w:val="24"/>
        </w:rPr>
      </w:pPr>
      <w:r>
        <w:rPr>
          <w:rFonts w:hint="eastAsia"/>
          <w:sz w:val="24"/>
          <w:lang w:val="en-US"/>
        </w:rPr>
        <w:t xml:space="preserve">11.1 </w:t>
      </w:r>
      <w:r>
        <w:rPr>
          <w:sz w:val="24"/>
        </w:rPr>
        <w:t>投标文件正本和副本用 A4 幅面的纸张打印。</w:t>
      </w:r>
    </w:p>
    <w:p>
      <w:pPr>
        <w:pStyle w:val="21"/>
        <w:tabs>
          <w:tab w:val="left" w:pos="2011"/>
          <w:tab w:val="left" w:pos="2012"/>
        </w:tabs>
        <w:spacing w:line="480" w:lineRule="exact"/>
        <w:ind w:left="0" w:firstLine="240" w:firstLineChars="100"/>
        <w:rPr>
          <w:sz w:val="24"/>
        </w:rPr>
      </w:pPr>
      <w:r>
        <w:rPr>
          <w:rFonts w:hint="eastAsia"/>
          <w:sz w:val="24"/>
          <w:lang w:val="en-US"/>
        </w:rPr>
        <w:t xml:space="preserve">11.2 </w:t>
      </w:r>
      <w:r>
        <w:rPr>
          <w:sz w:val="24"/>
        </w:rPr>
        <w:t>报价一览表用 A4 幅面，黑体小四号字体。</w:t>
      </w:r>
    </w:p>
    <w:p>
      <w:pPr>
        <w:pStyle w:val="21"/>
        <w:tabs>
          <w:tab w:val="left" w:pos="1832"/>
          <w:tab w:val="left" w:pos="4231"/>
        </w:tabs>
        <w:spacing w:line="480" w:lineRule="exact"/>
        <w:ind w:left="0" w:firstLine="0"/>
        <w:outlineLvl w:val="2"/>
        <w:rPr>
          <w:b/>
          <w:sz w:val="24"/>
          <w:lang w:val="en-US"/>
        </w:rPr>
      </w:pPr>
      <w:r>
        <w:rPr>
          <w:rFonts w:hint="eastAsia"/>
          <w:b/>
          <w:sz w:val="24"/>
          <w:lang w:val="en-US"/>
        </w:rPr>
        <w:t>12.投标文件装订</w:t>
      </w:r>
    </w:p>
    <w:p>
      <w:pPr>
        <w:pStyle w:val="21"/>
        <w:tabs>
          <w:tab w:val="left" w:pos="2011"/>
          <w:tab w:val="left" w:pos="2012"/>
        </w:tabs>
        <w:spacing w:line="480" w:lineRule="exact"/>
        <w:ind w:left="0" w:firstLine="226" w:firstLineChars="100"/>
        <w:rPr>
          <w:spacing w:val="-7"/>
          <w:sz w:val="24"/>
        </w:rPr>
      </w:pPr>
      <w:r>
        <w:rPr>
          <w:rFonts w:hint="eastAsia"/>
          <w:spacing w:val="-7"/>
          <w:sz w:val="24"/>
          <w:lang w:val="en-US"/>
        </w:rPr>
        <w:t xml:space="preserve">12.1 </w:t>
      </w:r>
      <w:r>
        <w:rPr>
          <w:spacing w:val="-7"/>
          <w:sz w:val="24"/>
        </w:rPr>
        <w:t>投标人宜将投标文件（正本、副本）中的有关文件按上述顺序排列装订成册，并在首页编制“投标文件目录（含二级目录）”。</w:t>
      </w:r>
    </w:p>
    <w:p>
      <w:pPr>
        <w:pStyle w:val="21"/>
        <w:tabs>
          <w:tab w:val="left" w:pos="2011"/>
          <w:tab w:val="left" w:pos="2012"/>
        </w:tabs>
        <w:spacing w:line="480" w:lineRule="exact"/>
        <w:ind w:left="0" w:firstLine="226" w:firstLineChars="100"/>
        <w:rPr>
          <w:spacing w:val="-7"/>
          <w:sz w:val="24"/>
        </w:rPr>
      </w:pPr>
      <w:r>
        <w:rPr>
          <w:rFonts w:hint="eastAsia"/>
          <w:spacing w:val="-7"/>
          <w:sz w:val="24"/>
          <w:lang w:val="en-US"/>
        </w:rPr>
        <w:t xml:space="preserve">12.2 </w:t>
      </w:r>
      <w:r>
        <w:rPr>
          <w:spacing w:val="-7"/>
          <w:sz w:val="24"/>
        </w:rPr>
        <w:t>为方便评审委员会对本项目进行评审，投标人在装订投标文件时请勿使用活页装订，必须使用胶装。</w:t>
      </w:r>
    </w:p>
    <w:p>
      <w:pPr>
        <w:pStyle w:val="21"/>
        <w:tabs>
          <w:tab w:val="left" w:pos="1832"/>
          <w:tab w:val="left" w:pos="4231"/>
        </w:tabs>
        <w:spacing w:line="480" w:lineRule="exact"/>
        <w:ind w:left="0" w:firstLine="0"/>
        <w:outlineLvl w:val="2"/>
        <w:rPr>
          <w:b/>
          <w:sz w:val="24"/>
          <w:lang w:val="en-US"/>
        </w:rPr>
      </w:pPr>
      <w:r>
        <w:rPr>
          <w:rFonts w:hint="eastAsia"/>
          <w:b/>
          <w:sz w:val="24"/>
          <w:lang w:val="en-US"/>
        </w:rPr>
        <w:t>13.投标文件签署</w:t>
      </w:r>
    </w:p>
    <w:p>
      <w:pPr>
        <w:pStyle w:val="21"/>
        <w:tabs>
          <w:tab w:val="left" w:pos="2011"/>
          <w:tab w:val="left" w:pos="2012"/>
        </w:tabs>
        <w:spacing w:line="480" w:lineRule="exact"/>
        <w:ind w:left="0" w:firstLine="227" w:firstLineChars="100"/>
        <w:rPr>
          <w:b/>
          <w:bCs/>
          <w:spacing w:val="-7"/>
          <w:sz w:val="24"/>
        </w:rPr>
      </w:pPr>
      <w:r>
        <w:rPr>
          <w:rFonts w:hint="eastAsia"/>
          <w:b/>
          <w:bCs/>
          <w:spacing w:val="-7"/>
          <w:sz w:val="24"/>
          <w:lang w:val="en-US"/>
        </w:rPr>
        <w:t xml:space="preserve">13.1 </w:t>
      </w:r>
      <w:r>
        <w:rPr>
          <w:b/>
          <w:bCs/>
          <w:spacing w:val="-7"/>
          <w:sz w:val="24"/>
        </w:rPr>
        <w:t>投标人代表必须按招标文件的规定签署投标文件（正本、副本及各附  件），并在投标文件封面及重要部位加盖单位公章。</w:t>
      </w:r>
    </w:p>
    <w:p>
      <w:pPr>
        <w:pStyle w:val="21"/>
        <w:tabs>
          <w:tab w:val="left" w:pos="2011"/>
          <w:tab w:val="left" w:pos="2012"/>
        </w:tabs>
        <w:spacing w:line="480" w:lineRule="exact"/>
        <w:ind w:left="0" w:firstLine="227" w:firstLineChars="100"/>
        <w:rPr>
          <w:b/>
          <w:bCs/>
          <w:spacing w:val="-7"/>
          <w:sz w:val="24"/>
        </w:rPr>
      </w:pPr>
      <w:r>
        <w:rPr>
          <w:rFonts w:hint="eastAsia"/>
          <w:b/>
          <w:bCs/>
          <w:spacing w:val="-7"/>
          <w:sz w:val="24"/>
          <w:lang w:val="en-US"/>
        </w:rPr>
        <w:t xml:space="preserve">13.2 </w:t>
      </w:r>
      <w:r>
        <w:rPr>
          <w:b/>
          <w:bCs/>
          <w:spacing w:val="-7"/>
          <w:sz w:val="24"/>
        </w:rPr>
        <w:t>投标人代表</w:t>
      </w:r>
      <w:r>
        <w:rPr>
          <w:rFonts w:hint="eastAsia"/>
          <w:b/>
          <w:bCs/>
          <w:spacing w:val="-7"/>
          <w:sz w:val="24"/>
        </w:rPr>
        <w:t>应</w:t>
      </w:r>
      <w:r>
        <w:rPr>
          <w:b/>
          <w:bCs/>
          <w:spacing w:val="-7"/>
          <w:sz w:val="24"/>
        </w:rPr>
        <w:t>按招标文件要求签署投标文件。</w:t>
      </w:r>
    </w:p>
    <w:p>
      <w:pPr>
        <w:pStyle w:val="21"/>
        <w:tabs>
          <w:tab w:val="left" w:pos="1832"/>
          <w:tab w:val="left" w:pos="4231"/>
        </w:tabs>
        <w:spacing w:line="480" w:lineRule="exact"/>
        <w:ind w:left="0" w:firstLine="0"/>
        <w:outlineLvl w:val="2"/>
        <w:rPr>
          <w:b/>
          <w:sz w:val="24"/>
          <w:lang w:val="en-US"/>
        </w:rPr>
      </w:pPr>
      <w:r>
        <w:rPr>
          <w:rFonts w:hint="eastAsia"/>
          <w:b/>
          <w:sz w:val="24"/>
          <w:lang w:val="en-US"/>
        </w:rPr>
        <w:t>14.投标文件密封和标记</w:t>
      </w:r>
    </w:p>
    <w:p>
      <w:pPr>
        <w:pStyle w:val="21"/>
        <w:tabs>
          <w:tab w:val="left" w:pos="2011"/>
          <w:tab w:val="left" w:pos="2012"/>
        </w:tabs>
        <w:spacing w:line="480" w:lineRule="exact"/>
        <w:ind w:left="0" w:firstLine="227" w:firstLineChars="100"/>
        <w:rPr>
          <w:b/>
          <w:bCs/>
          <w:spacing w:val="-7"/>
          <w:sz w:val="24"/>
        </w:rPr>
      </w:pPr>
      <w:r>
        <w:rPr>
          <w:rFonts w:hint="eastAsia"/>
          <w:b/>
          <w:bCs/>
          <w:spacing w:val="-7"/>
          <w:sz w:val="24"/>
          <w:lang w:val="en-US"/>
        </w:rPr>
        <w:t xml:space="preserve">14.1 </w:t>
      </w:r>
      <w:r>
        <w:rPr>
          <w:b/>
          <w:bCs/>
          <w:spacing w:val="-7"/>
          <w:sz w:val="24"/>
        </w:rPr>
        <w:t>投标人应准备六份投标文件，一份正本和五份副本，并在每一份投标文件上要注明“正本”或“副本”字样，一旦正本和副本有差异，以正本为准。</w:t>
      </w:r>
    </w:p>
    <w:p>
      <w:pPr>
        <w:pStyle w:val="21"/>
        <w:tabs>
          <w:tab w:val="left" w:pos="2011"/>
          <w:tab w:val="left" w:pos="2012"/>
        </w:tabs>
        <w:spacing w:line="480" w:lineRule="exact"/>
        <w:ind w:left="0" w:firstLine="227" w:firstLineChars="100"/>
        <w:rPr>
          <w:b/>
          <w:bCs/>
          <w:spacing w:val="-7"/>
          <w:sz w:val="24"/>
        </w:rPr>
      </w:pPr>
      <w:r>
        <w:rPr>
          <w:rFonts w:hint="eastAsia"/>
          <w:b/>
          <w:bCs/>
          <w:spacing w:val="-7"/>
          <w:sz w:val="24"/>
          <w:lang w:val="en-US"/>
        </w:rPr>
        <w:t xml:space="preserve">14.2 </w:t>
      </w:r>
      <w:r>
        <w:rPr>
          <w:b/>
          <w:bCs/>
          <w:spacing w:val="-7"/>
          <w:sz w:val="24"/>
        </w:rPr>
        <w:t>投标人应将投标文件正本、副本统一密封，并在封面明显处注明以下  内容（封面格式见附件）：</w:t>
      </w:r>
    </w:p>
    <w:p>
      <w:pPr>
        <w:pStyle w:val="21"/>
        <w:tabs>
          <w:tab w:val="left" w:pos="2011"/>
          <w:tab w:val="left" w:pos="2012"/>
        </w:tabs>
        <w:spacing w:line="480" w:lineRule="exact"/>
        <w:ind w:left="238" w:leftChars="108" w:firstLine="213" w:firstLineChars="94"/>
        <w:rPr>
          <w:b/>
          <w:bCs/>
          <w:spacing w:val="-7"/>
          <w:sz w:val="24"/>
        </w:rPr>
      </w:pPr>
      <w:r>
        <w:rPr>
          <w:rFonts w:hint="eastAsia"/>
          <w:b/>
          <w:bCs/>
          <w:spacing w:val="-7"/>
          <w:sz w:val="24"/>
          <w:lang w:val="en-US"/>
        </w:rPr>
        <w:t>1)</w:t>
      </w:r>
      <w:r>
        <w:rPr>
          <w:b/>
          <w:bCs/>
          <w:spacing w:val="-7"/>
          <w:sz w:val="24"/>
        </w:rPr>
        <w:t>项目编号、项目名称</w:t>
      </w:r>
    </w:p>
    <w:p>
      <w:pPr>
        <w:pStyle w:val="21"/>
        <w:tabs>
          <w:tab w:val="left" w:pos="2011"/>
          <w:tab w:val="left" w:pos="2012"/>
        </w:tabs>
        <w:spacing w:line="480" w:lineRule="exact"/>
        <w:ind w:left="238" w:leftChars="108" w:firstLine="213" w:firstLineChars="94"/>
        <w:rPr>
          <w:b/>
          <w:bCs/>
          <w:spacing w:val="-7"/>
          <w:sz w:val="24"/>
        </w:rPr>
      </w:pPr>
      <w:r>
        <w:rPr>
          <w:rFonts w:hint="eastAsia"/>
          <w:b/>
          <w:bCs/>
          <w:spacing w:val="-7"/>
          <w:sz w:val="24"/>
          <w:lang w:val="en-US"/>
        </w:rPr>
        <w:t>2)</w:t>
      </w:r>
      <w:r>
        <w:rPr>
          <w:b/>
          <w:bCs/>
          <w:spacing w:val="-7"/>
          <w:sz w:val="24"/>
        </w:rPr>
        <w:t>投标人名称（加盖公章）、地址、邮编、电话、传真</w:t>
      </w:r>
    </w:p>
    <w:p>
      <w:pPr>
        <w:pStyle w:val="21"/>
        <w:tabs>
          <w:tab w:val="left" w:pos="2011"/>
          <w:tab w:val="left" w:pos="2012"/>
        </w:tabs>
        <w:spacing w:line="480" w:lineRule="exact"/>
        <w:ind w:left="0" w:firstLine="226" w:firstLineChars="100"/>
        <w:rPr>
          <w:spacing w:val="-7"/>
          <w:sz w:val="24"/>
        </w:rPr>
      </w:pPr>
      <w:r>
        <w:rPr>
          <w:rFonts w:hint="eastAsia"/>
          <w:spacing w:val="-7"/>
          <w:sz w:val="24"/>
          <w:lang w:val="en-US"/>
        </w:rPr>
        <w:t xml:space="preserve">14.3 </w:t>
      </w:r>
      <w:r>
        <w:rPr>
          <w:spacing w:val="-7"/>
          <w:sz w:val="24"/>
        </w:rPr>
        <w:t>为方便检查投标人的资格，请投标人另外单独准备一套资格、资质证明文件并单独密封，在信封正面加盖单位公章并在封面上注明“资格、资质证明文件”、投标人名称、地址、电话。在投标人报价的同时将“资格、资质证明文件” 交招标代理机构备查。</w:t>
      </w:r>
    </w:p>
    <w:p>
      <w:pPr>
        <w:pStyle w:val="21"/>
        <w:tabs>
          <w:tab w:val="left" w:pos="2011"/>
          <w:tab w:val="left" w:pos="2012"/>
        </w:tabs>
        <w:spacing w:line="480" w:lineRule="exact"/>
        <w:ind w:left="0" w:firstLine="227" w:firstLineChars="100"/>
        <w:rPr>
          <w:b/>
          <w:bCs/>
          <w:spacing w:val="-7"/>
          <w:sz w:val="24"/>
          <w:lang w:val="en-US"/>
        </w:rPr>
      </w:pPr>
      <w:r>
        <w:rPr>
          <w:rFonts w:hint="eastAsia"/>
          <w:b/>
          <w:bCs/>
          <w:spacing w:val="-7"/>
          <w:sz w:val="24"/>
          <w:lang w:val="en-US"/>
        </w:rPr>
        <w:t>14.4 为方便公开唱价，请投标人另外准备三份“报价一览表”单独密封在一个密封袋内，与投标文件同时提交。在封面加盖单位公章并注明报价一览表、项目名称、投标人名称。</w:t>
      </w:r>
    </w:p>
    <w:p>
      <w:pPr>
        <w:pStyle w:val="21"/>
        <w:tabs>
          <w:tab w:val="left" w:pos="2011"/>
          <w:tab w:val="left" w:pos="2012"/>
        </w:tabs>
        <w:spacing w:line="480" w:lineRule="exact"/>
        <w:ind w:left="0" w:firstLine="226" w:firstLineChars="100"/>
        <w:rPr>
          <w:spacing w:val="-7"/>
          <w:sz w:val="24"/>
        </w:rPr>
      </w:pPr>
      <w:r>
        <w:rPr>
          <w:rFonts w:hint="eastAsia"/>
          <w:spacing w:val="-7"/>
          <w:sz w:val="24"/>
          <w:lang w:val="en-US"/>
        </w:rPr>
        <w:t xml:space="preserve">14.5 </w:t>
      </w:r>
      <w:r>
        <w:rPr>
          <w:spacing w:val="-7"/>
          <w:sz w:val="24"/>
        </w:rPr>
        <w:t>每一密封件在封口处加盖单位公章并注明“</w:t>
      </w:r>
      <w:r>
        <w:rPr>
          <w:spacing w:val="-7"/>
          <w:sz w:val="24"/>
          <w:highlight w:val="yellow"/>
        </w:rPr>
        <w:t>于201</w:t>
      </w:r>
      <w:r>
        <w:rPr>
          <w:rFonts w:hint="eastAsia"/>
          <w:spacing w:val="-7"/>
          <w:sz w:val="24"/>
          <w:highlight w:val="yellow"/>
        </w:rPr>
        <w:t>9</w:t>
      </w:r>
      <w:r>
        <w:rPr>
          <w:spacing w:val="-7"/>
          <w:sz w:val="24"/>
          <w:highlight w:val="yellow"/>
        </w:rPr>
        <w:t>年</w:t>
      </w:r>
      <w:r>
        <w:rPr>
          <w:rFonts w:hint="eastAsia"/>
          <w:spacing w:val="-7"/>
          <w:sz w:val="24"/>
          <w:highlight w:val="yellow"/>
          <w:lang w:val="en-US"/>
        </w:rPr>
        <w:t>3</w:t>
      </w:r>
      <w:r>
        <w:rPr>
          <w:spacing w:val="-7"/>
          <w:sz w:val="24"/>
          <w:highlight w:val="yellow"/>
        </w:rPr>
        <w:t>月</w:t>
      </w:r>
      <w:r>
        <w:rPr>
          <w:rFonts w:hint="eastAsia"/>
          <w:spacing w:val="-7"/>
          <w:sz w:val="24"/>
          <w:highlight w:val="yellow"/>
          <w:lang w:val="en-US"/>
        </w:rPr>
        <w:t>28</w:t>
      </w:r>
      <w:r>
        <w:rPr>
          <w:spacing w:val="-7"/>
          <w:sz w:val="24"/>
          <w:highlight w:val="yellow"/>
        </w:rPr>
        <w:t>日</w:t>
      </w:r>
      <w:r>
        <w:rPr>
          <w:rFonts w:hint="eastAsia"/>
          <w:spacing w:val="-7"/>
          <w:sz w:val="24"/>
          <w:highlight w:val="yellow"/>
          <w:lang w:val="en-US"/>
        </w:rPr>
        <w:t>14</w:t>
      </w:r>
      <w:r>
        <w:rPr>
          <w:spacing w:val="-7"/>
          <w:sz w:val="24"/>
          <w:highlight w:val="yellow"/>
        </w:rPr>
        <w:t>时</w:t>
      </w:r>
      <w:r>
        <w:rPr>
          <w:rFonts w:hint="eastAsia"/>
          <w:spacing w:val="-7"/>
          <w:sz w:val="24"/>
          <w:highlight w:val="yellow"/>
        </w:rPr>
        <w:t>30</w:t>
      </w:r>
      <w:r>
        <w:rPr>
          <w:spacing w:val="-7"/>
          <w:sz w:val="24"/>
          <w:highlight w:val="yellow"/>
        </w:rPr>
        <w:t>分之前不</w:t>
      </w:r>
      <w:r>
        <w:rPr>
          <w:spacing w:val="-7"/>
          <w:sz w:val="24"/>
        </w:rPr>
        <w:t>准启封”字样。</w:t>
      </w:r>
    </w:p>
    <w:p>
      <w:pPr>
        <w:pStyle w:val="21"/>
        <w:tabs>
          <w:tab w:val="left" w:pos="1832"/>
          <w:tab w:val="left" w:pos="4231"/>
        </w:tabs>
        <w:spacing w:line="480" w:lineRule="exact"/>
        <w:ind w:left="0" w:firstLine="0"/>
        <w:outlineLvl w:val="2"/>
        <w:rPr>
          <w:b/>
          <w:sz w:val="24"/>
          <w:lang w:val="en-US"/>
        </w:rPr>
      </w:pPr>
      <w:r>
        <w:rPr>
          <w:rFonts w:hint="eastAsia"/>
          <w:b/>
          <w:sz w:val="24"/>
          <w:lang w:val="en-US"/>
        </w:rPr>
        <w:t>15.投标保证金</w:t>
      </w:r>
    </w:p>
    <w:p>
      <w:pPr>
        <w:pStyle w:val="21"/>
        <w:tabs>
          <w:tab w:val="left" w:pos="2011"/>
          <w:tab w:val="left" w:pos="2012"/>
        </w:tabs>
        <w:spacing w:line="480" w:lineRule="exact"/>
        <w:ind w:left="0" w:firstLine="227" w:firstLineChars="100"/>
        <w:rPr>
          <w:b/>
          <w:bCs/>
          <w:spacing w:val="-7"/>
          <w:sz w:val="24"/>
          <w:lang w:val="en-US"/>
        </w:rPr>
      </w:pPr>
      <w:r>
        <w:rPr>
          <w:rFonts w:hint="eastAsia"/>
          <w:b/>
          <w:bCs/>
          <w:spacing w:val="-7"/>
          <w:sz w:val="24"/>
          <w:lang w:val="en-US"/>
        </w:rPr>
        <w:t>15.1 投标人需提交人民币柒万元整（¥70000.00 元）的投标保证金，并作为投标组成部分之一。对于未按要求提交投标保证金的，将被视为非响应性投标而予以拒绝。</w:t>
      </w:r>
    </w:p>
    <w:p>
      <w:pPr>
        <w:pStyle w:val="21"/>
        <w:tabs>
          <w:tab w:val="left" w:pos="2011"/>
          <w:tab w:val="left" w:pos="2012"/>
        </w:tabs>
        <w:spacing w:line="480" w:lineRule="exact"/>
        <w:ind w:left="0" w:firstLine="226" w:firstLineChars="100"/>
        <w:rPr>
          <w:spacing w:val="-7"/>
          <w:sz w:val="24"/>
        </w:rPr>
      </w:pPr>
      <w:r>
        <w:rPr>
          <w:rFonts w:hint="eastAsia"/>
          <w:spacing w:val="-7"/>
          <w:sz w:val="24"/>
          <w:lang w:val="en-US"/>
        </w:rPr>
        <w:t xml:space="preserve">15.2 </w:t>
      </w:r>
      <w:r>
        <w:rPr>
          <w:spacing w:val="-7"/>
          <w:sz w:val="24"/>
        </w:rPr>
        <w:t>投标保证金的递交形式：见前附表。</w:t>
      </w:r>
    </w:p>
    <w:p>
      <w:pPr>
        <w:pStyle w:val="21"/>
        <w:tabs>
          <w:tab w:val="left" w:pos="2011"/>
          <w:tab w:val="left" w:pos="2012"/>
        </w:tabs>
        <w:spacing w:line="480" w:lineRule="exact"/>
        <w:ind w:left="0" w:firstLine="226" w:firstLineChars="100"/>
        <w:rPr>
          <w:spacing w:val="-7"/>
          <w:sz w:val="24"/>
        </w:rPr>
      </w:pPr>
      <w:r>
        <w:rPr>
          <w:rFonts w:hint="eastAsia"/>
          <w:spacing w:val="-7"/>
          <w:sz w:val="24"/>
          <w:lang w:val="en-US"/>
        </w:rPr>
        <w:t xml:space="preserve">15.3 </w:t>
      </w:r>
      <w:r>
        <w:rPr>
          <w:spacing w:val="-7"/>
          <w:sz w:val="24"/>
        </w:rPr>
        <w:t>保证金退还方式</w:t>
      </w:r>
    </w:p>
    <w:p>
      <w:pPr>
        <w:pStyle w:val="21"/>
        <w:tabs>
          <w:tab w:val="left" w:pos="2011"/>
          <w:tab w:val="left" w:pos="2012"/>
        </w:tabs>
        <w:spacing w:line="480" w:lineRule="exact"/>
        <w:ind w:left="11" w:hanging="11" w:hangingChars="5"/>
        <w:rPr>
          <w:spacing w:val="-7"/>
          <w:sz w:val="24"/>
        </w:rPr>
      </w:pPr>
      <w:r>
        <w:rPr>
          <w:spacing w:val="-7"/>
          <w:sz w:val="24"/>
        </w:rPr>
        <w:t>未中标人的投标保证金将在中标通知书签发后 5 日内退还。办理投标保证金退回手续：投标保证金凭公共资源交易服务中心开具的收据，退还至投标人的基本账户，退款产生的银行手续费用由投标人承担。</w:t>
      </w:r>
    </w:p>
    <w:p>
      <w:pPr>
        <w:pStyle w:val="21"/>
        <w:tabs>
          <w:tab w:val="left" w:pos="1952"/>
        </w:tabs>
        <w:spacing w:before="42" w:line="480" w:lineRule="exact"/>
        <w:ind w:left="0" w:firstLine="240" w:firstLineChars="100"/>
        <w:rPr>
          <w:sz w:val="24"/>
        </w:rPr>
      </w:pPr>
      <w:r>
        <w:rPr>
          <w:rFonts w:hint="eastAsia"/>
          <w:sz w:val="24"/>
          <w:lang w:val="en-US"/>
        </w:rPr>
        <w:t>15.4</w:t>
      </w:r>
      <w:r>
        <w:rPr>
          <w:sz w:val="24"/>
        </w:rPr>
        <w:t>下列任何情况发生时，投标保证金将被没收：</w:t>
      </w:r>
    </w:p>
    <w:p>
      <w:pPr>
        <w:pStyle w:val="21"/>
        <w:tabs>
          <w:tab w:val="left" w:pos="2013"/>
        </w:tabs>
        <w:spacing w:line="480" w:lineRule="exact"/>
        <w:ind w:left="-11" w:firstLine="240" w:firstLineChars="100"/>
        <w:rPr>
          <w:sz w:val="24"/>
        </w:rPr>
      </w:pPr>
      <w:r>
        <w:rPr>
          <w:rFonts w:hint="eastAsia"/>
          <w:sz w:val="24"/>
          <w:lang w:val="en-US"/>
        </w:rPr>
        <w:t>(1)</w:t>
      </w:r>
      <w:r>
        <w:rPr>
          <w:sz w:val="24"/>
        </w:rPr>
        <w:t>投标人在投标有效期内撤回其投标文件的；</w:t>
      </w:r>
    </w:p>
    <w:p>
      <w:pPr>
        <w:pStyle w:val="21"/>
        <w:tabs>
          <w:tab w:val="left" w:pos="2013"/>
        </w:tabs>
        <w:spacing w:line="480" w:lineRule="exact"/>
        <w:ind w:left="-11" w:firstLine="240" w:firstLineChars="100"/>
        <w:rPr>
          <w:sz w:val="24"/>
        </w:rPr>
      </w:pPr>
      <w:r>
        <w:rPr>
          <w:rFonts w:hint="eastAsia"/>
          <w:sz w:val="24"/>
          <w:lang w:val="en-US"/>
        </w:rPr>
        <w:t>(2)</w:t>
      </w:r>
      <w:r>
        <w:rPr>
          <w:sz w:val="24"/>
        </w:rPr>
        <w:t>中标单位未在规定期限内及时签订项目合同的；</w:t>
      </w:r>
    </w:p>
    <w:p>
      <w:pPr>
        <w:pStyle w:val="21"/>
        <w:tabs>
          <w:tab w:val="left" w:pos="2013"/>
        </w:tabs>
        <w:spacing w:line="480" w:lineRule="exact"/>
        <w:ind w:left="-11" w:firstLine="240" w:firstLineChars="100"/>
        <w:rPr>
          <w:sz w:val="24"/>
        </w:rPr>
      </w:pPr>
      <w:r>
        <w:rPr>
          <w:rFonts w:hint="eastAsia"/>
          <w:sz w:val="24"/>
          <w:lang w:val="en-US"/>
        </w:rPr>
        <w:t>(3)</w:t>
      </w:r>
      <w:r>
        <w:rPr>
          <w:sz w:val="24"/>
        </w:rPr>
        <w:t>其它违反国家招投标法律法规的有关情况。</w:t>
      </w:r>
    </w:p>
    <w:p>
      <w:pPr>
        <w:pStyle w:val="21"/>
        <w:tabs>
          <w:tab w:val="left" w:pos="1832"/>
          <w:tab w:val="left" w:pos="4231"/>
        </w:tabs>
        <w:spacing w:line="480" w:lineRule="exact"/>
        <w:ind w:left="0" w:firstLine="0"/>
        <w:outlineLvl w:val="2"/>
        <w:rPr>
          <w:b/>
          <w:sz w:val="24"/>
          <w:lang w:val="en-US"/>
        </w:rPr>
      </w:pPr>
      <w:r>
        <w:rPr>
          <w:rFonts w:hint="eastAsia"/>
          <w:b/>
          <w:sz w:val="24"/>
          <w:lang w:val="en-US"/>
        </w:rPr>
        <w:t>16.投标有效期</w:t>
      </w:r>
    </w:p>
    <w:p>
      <w:pPr>
        <w:pStyle w:val="21"/>
        <w:tabs>
          <w:tab w:val="left" w:pos="2011"/>
          <w:tab w:val="left" w:pos="2012"/>
        </w:tabs>
        <w:spacing w:line="480" w:lineRule="exact"/>
        <w:ind w:left="0" w:firstLine="226" w:firstLineChars="100"/>
        <w:rPr>
          <w:spacing w:val="-7"/>
          <w:sz w:val="24"/>
          <w:lang w:val="en-US"/>
        </w:rPr>
      </w:pPr>
      <w:r>
        <w:rPr>
          <w:rFonts w:hint="eastAsia"/>
          <w:spacing w:val="-7"/>
          <w:sz w:val="24"/>
          <w:lang w:val="en-US"/>
        </w:rPr>
        <w:t>16.1 从投标之日起，有效期为 90 日。投标文件的有效期比本须知规定的有效期短的，将被称为非响应报价，招标代理机构有权拒绝。</w:t>
      </w:r>
    </w:p>
    <w:p>
      <w:pPr>
        <w:pStyle w:val="21"/>
        <w:tabs>
          <w:tab w:val="left" w:pos="2011"/>
          <w:tab w:val="left" w:pos="2012"/>
        </w:tabs>
        <w:spacing w:line="480" w:lineRule="exact"/>
        <w:ind w:left="0" w:firstLine="226" w:firstLineChars="100"/>
        <w:rPr>
          <w:spacing w:val="-7"/>
          <w:sz w:val="24"/>
          <w:lang w:val="en-US"/>
        </w:rPr>
      </w:pPr>
      <w:r>
        <w:rPr>
          <w:rFonts w:hint="eastAsia"/>
          <w:spacing w:val="-7"/>
          <w:sz w:val="24"/>
          <w:lang w:val="en-US"/>
        </w:rPr>
        <w:t>16.2 特殊情况下，在投标有效期满之前，招标代理机构可以以书面形式要求投标人同意延长投标有效期。投标人可以书面形式拒绝或接受上述要求。拒绝延长投标有效期的投标人有权收回投标保证金；同意延长投标有效期的投标人应当相应延长其投标保证金的有效期。</w:t>
      </w:r>
    </w:p>
    <w:p>
      <w:pPr>
        <w:pStyle w:val="3"/>
        <w:spacing w:before="42" w:line="480" w:lineRule="exact"/>
        <w:ind w:left="0"/>
        <w:rPr>
          <w:lang w:val="en-US"/>
        </w:rPr>
      </w:pPr>
      <w:bookmarkStart w:id="36" w:name="_Toc24570_WPSOffice_Level2"/>
      <w:r>
        <w:rPr>
          <w:rFonts w:hint="eastAsia"/>
          <w:lang w:val="en-US"/>
        </w:rPr>
        <w:t>五、投标文件的递交</w:t>
      </w:r>
      <w:bookmarkEnd w:id="36"/>
    </w:p>
    <w:p>
      <w:pPr>
        <w:pStyle w:val="21"/>
        <w:tabs>
          <w:tab w:val="left" w:pos="1832"/>
          <w:tab w:val="left" w:pos="4231"/>
        </w:tabs>
        <w:spacing w:line="480" w:lineRule="exact"/>
        <w:ind w:left="0" w:firstLine="0"/>
        <w:outlineLvl w:val="2"/>
        <w:rPr>
          <w:b/>
          <w:sz w:val="24"/>
          <w:lang w:val="en-US"/>
        </w:rPr>
      </w:pPr>
      <w:r>
        <w:rPr>
          <w:rFonts w:hint="eastAsia"/>
          <w:b/>
          <w:sz w:val="24"/>
          <w:lang w:val="en-US"/>
        </w:rPr>
        <w:t>17.投标文件递交时间和地点</w:t>
      </w:r>
    </w:p>
    <w:p>
      <w:pPr>
        <w:pStyle w:val="8"/>
        <w:spacing w:line="480" w:lineRule="exact"/>
        <w:ind w:firstLine="240" w:firstLineChars="100"/>
      </w:pPr>
      <w:r>
        <w:rPr>
          <w:rFonts w:hint="eastAsia"/>
          <w:lang w:val="en-US"/>
        </w:rPr>
        <w:t>17.1</w:t>
      </w:r>
      <w:r>
        <w:t>截止时间：</w:t>
      </w:r>
      <w:r>
        <w:rPr>
          <w:highlight w:val="yellow"/>
        </w:rPr>
        <w:t>201</w:t>
      </w:r>
      <w:r>
        <w:rPr>
          <w:rFonts w:hint="eastAsia"/>
          <w:highlight w:val="yellow"/>
        </w:rPr>
        <w:t>9</w:t>
      </w:r>
      <w:r>
        <w:rPr>
          <w:highlight w:val="yellow"/>
        </w:rPr>
        <w:t>年</w:t>
      </w:r>
      <w:r>
        <w:rPr>
          <w:rFonts w:hint="eastAsia"/>
          <w:highlight w:val="yellow"/>
          <w:lang w:val="en-US"/>
        </w:rPr>
        <w:t>3</w:t>
      </w:r>
      <w:r>
        <w:rPr>
          <w:highlight w:val="yellow"/>
        </w:rPr>
        <w:t>月</w:t>
      </w:r>
      <w:r>
        <w:rPr>
          <w:rFonts w:hint="eastAsia"/>
          <w:highlight w:val="yellow"/>
          <w:lang w:val="en-US"/>
        </w:rPr>
        <w:t>28</w:t>
      </w:r>
      <w:r>
        <w:rPr>
          <w:highlight w:val="yellow"/>
        </w:rPr>
        <w:t>日</w:t>
      </w:r>
      <w:r>
        <w:rPr>
          <w:rFonts w:hint="eastAsia"/>
          <w:highlight w:val="yellow"/>
          <w:lang w:val="en-US"/>
        </w:rPr>
        <w:t>14</w:t>
      </w:r>
      <w:r>
        <w:rPr>
          <w:highlight w:val="yellow"/>
        </w:rPr>
        <w:t>时</w:t>
      </w:r>
      <w:r>
        <w:rPr>
          <w:rFonts w:hint="eastAsia"/>
          <w:highlight w:val="yellow"/>
        </w:rPr>
        <w:t>3</w:t>
      </w:r>
      <w:r>
        <w:rPr>
          <w:highlight w:val="yellow"/>
        </w:rPr>
        <w:t>0分</w:t>
      </w:r>
      <w:r>
        <w:t>（北京时间）</w:t>
      </w:r>
    </w:p>
    <w:p>
      <w:pPr>
        <w:pStyle w:val="8"/>
        <w:spacing w:line="480" w:lineRule="exact"/>
        <w:ind w:left="240" w:leftChars="109" w:firstLine="446" w:firstLineChars="194"/>
      </w:pPr>
      <w:r>
        <w:rPr>
          <w:rFonts w:hint="eastAsia"/>
          <w:spacing w:val="-5"/>
        </w:rPr>
        <w:t>地点：</w:t>
      </w:r>
      <w:r>
        <w:rPr>
          <w:spacing w:val="-5"/>
        </w:rPr>
        <w:t>金乡县公共资源交易服务中心(金乡县金珠路与山阳路交叉处</w:t>
      </w:r>
      <w:r>
        <w:rPr>
          <w:spacing w:val="-3"/>
        </w:rPr>
        <w:t>（</w:t>
      </w:r>
      <w:r>
        <w:t>西南</w:t>
      </w:r>
      <w:r>
        <w:rPr>
          <w:spacing w:val="-118"/>
        </w:rPr>
        <w:t>）</w:t>
      </w:r>
      <w:r>
        <w:t>五楼)。</w:t>
      </w:r>
    </w:p>
    <w:p>
      <w:pPr>
        <w:pStyle w:val="21"/>
        <w:tabs>
          <w:tab w:val="left" w:pos="2012"/>
        </w:tabs>
        <w:spacing w:line="480" w:lineRule="exact"/>
        <w:ind w:left="0" w:firstLine="684" w:firstLineChars="300"/>
        <w:rPr>
          <w:sz w:val="24"/>
        </w:rPr>
      </w:pPr>
      <w:r>
        <w:rPr>
          <w:rFonts w:hint="eastAsia"/>
          <w:spacing w:val="-6"/>
          <w:sz w:val="24"/>
        </w:rPr>
        <w:t>注：</w:t>
      </w:r>
      <w:r>
        <w:rPr>
          <w:spacing w:val="-6"/>
          <w:sz w:val="24"/>
        </w:rPr>
        <w:t>投标人必须在投标截止时间前将投标文件送达指定地点。如因特殊原因</w:t>
      </w:r>
      <w:r>
        <w:rPr>
          <w:sz w:val="24"/>
        </w:rPr>
        <w:t>需推迟投标截止日期的，则按招标代理机构另行通知规定的时间递交。招标代理机构将拒绝接收投标截止时间后送达的投标文件。</w:t>
      </w:r>
    </w:p>
    <w:p>
      <w:pPr>
        <w:pStyle w:val="21"/>
        <w:tabs>
          <w:tab w:val="left" w:pos="1832"/>
          <w:tab w:val="left" w:pos="4231"/>
        </w:tabs>
        <w:spacing w:line="480" w:lineRule="exact"/>
        <w:ind w:left="0" w:firstLine="0"/>
        <w:outlineLvl w:val="2"/>
        <w:rPr>
          <w:b/>
          <w:sz w:val="24"/>
          <w:lang w:val="en-US"/>
        </w:rPr>
      </w:pPr>
      <w:r>
        <w:rPr>
          <w:rFonts w:hint="eastAsia"/>
          <w:b/>
          <w:sz w:val="24"/>
          <w:lang w:val="en-US"/>
        </w:rPr>
        <w:t>18.投标文件电子文档</w:t>
      </w:r>
    </w:p>
    <w:p>
      <w:pPr>
        <w:pStyle w:val="21"/>
        <w:tabs>
          <w:tab w:val="left" w:pos="2012"/>
        </w:tabs>
        <w:spacing w:line="480" w:lineRule="exact"/>
        <w:ind w:left="0" w:firstLine="228" w:firstLineChars="100"/>
        <w:rPr>
          <w:spacing w:val="-6"/>
          <w:sz w:val="24"/>
        </w:rPr>
      </w:pPr>
      <w:r>
        <w:rPr>
          <w:rFonts w:hint="eastAsia"/>
          <w:spacing w:val="-6"/>
          <w:sz w:val="24"/>
          <w:lang w:val="en-US"/>
        </w:rPr>
        <w:t xml:space="preserve">18.1 </w:t>
      </w:r>
      <w:r>
        <w:rPr>
          <w:spacing w:val="-6"/>
          <w:sz w:val="24"/>
        </w:rPr>
        <w:t>本项目采用投标文件电子文档投标和纸制投标文件存档的方式，投标文件电子文档与纸质投标文件实质性内容不符，导致无法评审的为无效报价，不予评审，请投标人务必保证内容一致。</w:t>
      </w:r>
    </w:p>
    <w:p>
      <w:pPr>
        <w:pStyle w:val="21"/>
        <w:tabs>
          <w:tab w:val="left" w:pos="2012"/>
        </w:tabs>
        <w:spacing w:line="480" w:lineRule="exact"/>
        <w:ind w:left="0" w:firstLine="228" w:firstLineChars="100"/>
        <w:rPr>
          <w:spacing w:val="-6"/>
          <w:sz w:val="24"/>
        </w:rPr>
      </w:pPr>
      <w:r>
        <w:rPr>
          <w:rFonts w:hint="eastAsia"/>
          <w:spacing w:val="-6"/>
          <w:sz w:val="24"/>
          <w:lang w:val="en-US"/>
        </w:rPr>
        <w:t xml:space="preserve">18.2 </w:t>
      </w:r>
      <w:r>
        <w:rPr>
          <w:spacing w:val="-6"/>
          <w:sz w:val="24"/>
        </w:rPr>
        <w:t>投标文件电子文档不必签字、盖章，不必上传纸质投标文件的扫描件，可直接上传电子文档。</w:t>
      </w:r>
    </w:p>
    <w:p>
      <w:pPr>
        <w:pStyle w:val="21"/>
        <w:tabs>
          <w:tab w:val="left" w:pos="2012"/>
        </w:tabs>
        <w:spacing w:line="480" w:lineRule="exact"/>
        <w:ind w:left="0" w:firstLine="228" w:firstLineChars="100"/>
        <w:rPr>
          <w:spacing w:val="-6"/>
          <w:sz w:val="24"/>
        </w:rPr>
      </w:pPr>
      <w:r>
        <w:rPr>
          <w:rFonts w:hint="eastAsia"/>
          <w:spacing w:val="-6"/>
          <w:sz w:val="24"/>
          <w:lang w:val="en-US"/>
        </w:rPr>
        <w:t xml:space="preserve">18.3 </w:t>
      </w:r>
      <w:r>
        <w:rPr>
          <w:spacing w:val="-6"/>
          <w:sz w:val="24"/>
        </w:rPr>
        <w:t xml:space="preserve">网上报价和上传投标文件电子文档：所有投标文件电子文档须于 </w:t>
      </w:r>
      <w:r>
        <w:rPr>
          <w:spacing w:val="-6"/>
          <w:sz w:val="24"/>
          <w:highlight w:val="yellow"/>
        </w:rPr>
        <w:t>201</w:t>
      </w:r>
      <w:r>
        <w:rPr>
          <w:rFonts w:hint="eastAsia"/>
          <w:spacing w:val="-6"/>
          <w:sz w:val="24"/>
          <w:highlight w:val="yellow"/>
        </w:rPr>
        <w:t>9</w:t>
      </w:r>
      <w:r>
        <w:rPr>
          <w:spacing w:val="-6"/>
          <w:sz w:val="24"/>
          <w:highlight w:val="yellow"/>
        </w:rPr>
        <w:t>年</w:t>
      </w:r>
      <w:r>
        <w:rPr>
          <w:rFonts w:hint="eastAsia"/>
          <w:spacing w:val="-6"/>
          <w:sz w:val="24"/>
          <w:highlight w:val="yellow"/>
          <w:lang w:val="en-US"/>
        </w:rPr>
        <w:t>3</w:t>
      </w:r>
      <w:r>
        <w:rPr>
          <w:spacing w:val="-6"/>
          <w:sz w:val="24"/>
          <w:highlight w:val="yellow"/>
        </w:rPr>
        <w:t xml:space="preserve">月 </w:t>
      </w:r>
      <w:r>
        <w:rPr>
          <w:rFonts w:hint="eastAsia"/>
          <w:spacing w:val="-6"/>
          <w:sz w:val="24"/>
          <w:highlight w:val="yellow"/>
          <w:lang w:val="en-US"/>
        </w:rPr>
        <w:t>28</w:t>
      </w:r>
      <w:r>
        <w:rPr>
          <w:spacing w:val="-6"/>
          <w:sz w:val="24"/>
          <w:highlight w:val="yellow"/>
        </w:rPr>
        <w:t xml:space="preserve"> 日 </w:t>
      </w:r>
      <w:r>
        <w:rPr>
          <w:rFonts w:hint="eastAsia"/>
          <w:spacing w:val="-6"/>
          <w:sz w:val="24"/>
          <w:highlight w:val="yellow"/>
          <w:lang w:val="en-US"/>
        </w:rPr>
        <w:t>14</w:t>
      </w:r>
      <w:r>
        <w:rPr>
          <w:spacing w:val="-6"/>
          <w:sz w:val="24"/>
          <w:highlight w:val="yellow"/>
        </w:rPr>
        <w:t>:</w:t>
      </w:r>
      <w:r>
        <w:rPr>
          <w:rFonts w:hint="eastAsia"/>
          <w:spacing w:val="-6"/>
          <w:sz w:val="24"/>
          <w:highlight w:val="yellow"/>
        </w:rPr>
        <w:t>3</w:t>
      </w:r>
      <w:r>
        <w:rPr>
          <w:spacing w:val="-6"/>
          <w:sz w:val="24"/>
          <w:highlight w:val="yellow"/>
        </w:rPr>
        <w:t>0 时(北京时间)</w:t>
      </w:r>
      <w:r>
        <w:rPr>
          <w:spacing w:val="-6"/>
          <w:sz w:val="24"/>
        </w:rPr>
        <w:t>之前上传到济宁市（金乡县）政府采购网（未在规定时间内上传投标文件电子文档或截止时间后上传的投标文件电子文档将不予公开唱标及评审）。具体操作：登录济宁市（金乡县）政府采购网站http://218.59.158.81:8888/login/点击“项目报价列表—&gt;报价”功能点上传投标文件。</w:t>
      </w:r>
    </w:p>
    <w:p>
      <w:pPr>
        <w:pStyle w:val="21"/>
        <w:tabs>
          <w:tab w:val="left" w:pos="2012"/>
        </w:tabs>
        <w:spacing w:line="480" w:lineRule="exact"/>
        <w:ind w:left="0" w:firstLine="228" w:firstLineChars="100"/>
        <w:rPr>
          <w:spacing w:val="-6"/>
          <w:sz w:val="24"/>
        </w:rPr>
      </w:pPr>
      <w:r>
        <w:rPr>
          <w:rFonts w:hint="eastAsia"/>
          <w:spacing w:val="-6"/>
          <w:sz w:val="24"/>
          <w:lang w:val="en-US"/>
        </w:rPr>
        <w:t xml:space="preserve">18.4 </w:t>
      </w:r>
      <w:r>
        <w:rPr>
          <w:spacing w:val="-6"/>
          <w:sz w:val="24"/>
        </w:rPr>
        <w:t>投标文件电子文档解密时</w:t>
      </w:r>
      <w:r>
        <w:rPr>
          <w:spacing w:val="-6"/>
          <w:sz w:val="24"/>
          <w:highlight w:val="yellow"/>
        </w:rPr>
        <w:t>间：201</w:t>
      </w:r>
      <w:r>
        <w:rPr>
          <w:rFonts w:hint="eastAsia"/>
          <w:spacing w:val="-6"/>
          <w:sz w:val="24"/>
          <w:highlight w:val="yellow"/>
        </w:rPr>
        <w:t>9</w:t>
      </w:r>
      <w:r>
        <w:rPr>
          <w:spacing w:val="-6"/>
          <w:sz w:val="24"/>
          <w:highlight w:val="yellow"/>
        </w:rPr>
        <w:t xml:space="preserve"> 年</w:t>
      </w:r>
      <w:r>
        <w:rPr>
          <w:rFonts w:hint="eastAsia"/>
          <w:spacing w:val="-6"/>
          <w:sz w:val="24"/>
          <w:highlight w:val="yellow"/>
          <w:lang w:val="en-US"/>
        </w:rPr>
        <w:t xml:space="preserve"> 4</w:t>
      </w:r>
      <w:r>
        <w:rPr>
          <w:spacing w:val="-6"/>
          <w:sz w:val="24"/>
          <w:highlight w:val="yellow"/>
        </w:rPr>
        <w:t xml:space="preserve"> 月</w:t>
      </w:r>
      <w:r>
        <w:rPr>
          <w:rFonts w:hint="eastAsia"/>
          <w:spacing w:val="-6"/>
          <w:sz w:val="24"/>
          <w:highlight w:val="yellow"/>
        </w:rPr>
        <w:t xml:space="preserve"> </w:t>
      </w:r>
      <w:r>
        <w:rPr>
          <w:rFonts w:hint="eastAsia"/>
          <w:spacing w:val="-6"/>
          <w:sz w:val="24"/>
          <w:highlight w:val="yellow"/>
          <w:lang w:val="en-US"/>
        </w:rPr>
        <w:t xml:space="preserve"> </w:t>
      </w:r>
      <w:r>
        <w:rPr>
          <w:spacing w:val="-6"/>
          <w:sz w:val="24"/>
          <w:highlight w:val="yellow"/>
        </w:rPr>
        <w:t xml:space="preserve"> 日 </w:t>
      </w:r>
      <w:r>
        <w:rPr>
          <w:rFonts w:hint="eastAsia"/>
          <w:spacing w:val="-6"/>
          <w:sz w:val="24"/>
          <w:highlight w:val="yellow"/>
          <w:lang w:val="en-US"/>
        </w:rPr>
        <w:t>14</w:t>
      </w:r>
      <w:r>
        <w:rPr>
          <w:spacing w:val="-6"/>
          <w:sz w:val="24"/>
          <w:highlight w:val="yellow"/>
        </w:rPr>
        <w:t>:</w:t>
      </w:r>
      <w:r>
        <w:rPr>
          <w:rFonts w:hint="eastAsia"/>
          <w:spacing w:val="-6"/>
          <w:sz w:val="24"/>
          <w:highlight w:val="yellow"/>
          <w:lang w:val="en-US"/>
        </w:rPr>
        <w:t>0</w:t>
      </w:r>
      <w:r>
        <w:rPr>
          <w:spacing w:val="-6"/>
          <w:sz w:val="24"/>
          <w:highlight w:val="yellow"/>
        </w:rPr>
        <w:t xml:space="preserve">0 </w:t>
      </w:r>
      <w:r>
        <w:rPr>
          <w:rFonts w:hint="eastAsia"/>
          <w:spacing w:val="-6"/>
          <w:sz w:val="24"/>
          <w:highlight w:val="yellow"/>
        </w:rPr>
        <w:t>时</w:t>
      </w:r>
      <w:r>
        <w:rPr>
          <w:spacing w:val="-6"/>
          <w:sz w:val="24"/>
          <w:highlight w:val="yellow"/>
        </w:rPr>
        <w:t>(北京时间)以后</w:t>
      </w:r>
      <w:r>
        <w:rPr>
          <w:spacing w:val="-6"/>
          <w:sz w:val="24"/>
        </w:rPr>
        <w:t>（解密时间截止时由于投标人自身原因仍未解密的投标文件将不予公开唱标及评审）。</w:t>
      </w:r>
    </w:p>
    <w:p>
      <w:pPr>
        <w:pStyle w:val="21"/>
        <w:tabs>
          <w:tab w:val="left" w:pos="2012"/>
        </w:tabs>
        <w:spacing w:line="480" w:lineRule="exact"/>
        <w:ind w:left="0" w:firstLine="228" w:firstLineChars="100"/>
        <w:rPr>
          <w:spacing w:val="-6"/>
          <w:sz w:val="24"/>
        </w:rPr>
      </w:pPr>
      <w:r>
        <w:rPr>
          <w:rFonts w:hint="eastAsia"/>
          <w:spacing w:val="-6"/>
          <w:sz w:val="24"/>
          <w:lang w:val="en-US"/>
        </w:rPr>
        <w:t xml:space="preserve">18.5 </w:t>
      </w:r>
      <w:r>
        <w:rPr>
          <w:spacing w:val="-6"/>
          <w:sz w:val="24"/>
        </w:rPr>
        <w:t>本项目的投标文件电子文档，每个部分的大小不能超过 15M，各个部分必须同时上传缺一不可。</w:t>
      </w:r>
    </w:p>
    <w:p>
      <w:pPr>
        <w:pStyle w:val="21"/>
        <w:tabs>
          <w:tab w:val="left" w:pos="2012"/>
        </w:tabs>
        <w:spacing w:line="480" w:lineRule="exact"/>
        <w:ind w:left="0" w:firstLine="228" w:firstLineChars="100"/>
        <w:rPr>
          <w:spacing w:val="-6"/>
          <w:sz w:val="24"/>
        </w:rPr>
      </w:pPr>
      <w:r>
        <w:rPr>
          <w:rFonts w:hint="eastAsia"/>
          <w:spacing w:val="-6"/>
          <w:sz w:val="24"/>
          <w:lang w:val="en-US"/>
        </w:rPr>
        <w:t xml:space="preserve">18.6 </w:t>
      </w:r>
      <w:r>
        <w:rPr>
          <w:spacing w:val="-6"/>
          <w:sz w:val="24"/>
        </w:rPr>
        <w:t>投标文件电子文档如过大，应将文档中的图片压缩</w:t>
      </w:r>
      <w:r>
        <w:rPr>
          <w:rFonts w:hint="eastAsia"/>
          <w:spacing w:val="-6"/>
          <w:sz w:val="24"/>
        </w:rPr>
        <w:t>。</w:t>
      </w:r>
    </w:p>
    <w:p>
      <w:pPr>
        <w:pStyle w:val="21"/>
        <w:tabs>
          <w:tab w:val="left" w:pos="1832"/>
          <w:tab w:val="left" w:pos="4231"/>
        </w:tabs>
        <w:spacing w:line="480" w:lineRule="exact"/>
        <w:ind w:left="0" w:firstLine="0"/>
        <w:outlineLvl w:val="2"/>
        <w:rPr>
          <w:b/>
          <w:sz w:val="24"/>
          <w:lang w:val="en-US"/>
        </w:rPr>
      </w:pPr>
      <w:r>
        <w:rPr>
          <w:rFonts w:hint="eastAsia"/>
          <w:b/>
          <w:sz w:val="24"/>
          <w:lang w:val="en-US"/>
        </w:rPr>
        <w:t>19.投标文件的补充、修改与撤回</w:t>
      </w:r>
    </w:p>
    <w:p>
      <w:pPr>
        <w:pStyle w:val="21"/>
        <w:tabs>
          <w:tab w:val="left" w:pos="2012"/>
        </w:tabs>
        <w:spacing w:line="480" w:lineRule="exact"/>
        <w:ind w:left="0" w:firstLine="224" w:firstLineChars="100"/>
        <w:rPr>
          <w:sz w:val="24"/>
        </w:rPr>
      </w:pPr>
      <w:r>
        <w:rPr>
          <w:rFonts w:hint="eastAsia"/>
          <w:spacing w:val="-8"/>
          <w:sz w:val="24"/>
          <w:lang w:val="en-US"/>
        </w:rPr>
        <w:t xml:space="preserve">19.1 </w:t>
      </w:r>
      <w:r>
        <w:rPr>
          <w:spacing w:val="-8"/>
          <w:sz w:val="24"/>
        </w:rPr>
        <w:t>投标人在提交投标文件以后，在规定的投标截止时间之前，可以以书面</w:t>
      </w:r>
      <w:r>
        <w:rPr>
          <w:spacing w:val="-14"/>
          <w:sz w:val="24"/>
        </w:rPr>
        <w:t>形式补充修改或撤回已提交的投标文件，并以书面形式通知招标代理机构。补充、</w:t>
      </w:r>
      <w:r>
        <w:rPr>
          <w:sz w:val="24"/>
        </w:rPr>
        <w:t>修改的内容为投标文件的组成部分。</w:t>
      </w:r>
    </w:p>
    <w:p>
      <w:pPr>
        <w:pStyle w:val="21"/>
        <w:tabs>
          <w:tab w:val="left" w:pos="2012"/>
        </w:tabs>
        <w:spacing w:line="480" w:lineRule="exact"/>
        <w:ind w:left="0" w:firstLine="234" w:firstLineChars="100"/>
        <w:rPr>
          <w:sz w:val="24"/>
        </w:rPr>
      </w:pPr>
      <w:r>
        <w:rPr>
          <w:rFonts w:hint="eastAsia"/>
          <w:spacing w:val="-3"/>
          <w:sz w:val="24"/>
          <w:lang w:val="en-US"/>
        </w:rPr>
        <w:t xml:space="preserve">19.2 </w:t>
      </w:r>
      <w:r>
        <w:rPr>
          <w:spacing w:val="-3"/>
          <w:sz w:val="24"/>
        </w:rPr>
        <w:t xml:space="preserve">投标人对投标文件的补充、修改，应按本须知第 </w:t>
      </w:r>
      <w:r>
        <w:rPr>
          <w:sz w:val="24"/>
        </w:rPr>
        <w:t>18</w:t>
      </w:r>
      <w:r>
        <w:rPr>
          <w:spacing w:val="-8"/>
          <w:sz w:val="24"/>
        </w:rPr>
        <w:t xml:space="preserve"> 条有关规定密封、</w:t>
      </w:r>
      <w:r>
        <w:rPr>
          <w:spacing w:val="-13"/>
          <w:sz w:val="24"/>
        </w:rPr>
        <w:t>标记和提交，并在投标文件密封袋上清楚的标明“补充、修改”或“撤回”字样。</w:t>
      </w:r>
    </w:p>
    <w:p>
      <w:pPr>
        <w:pStyle w:val="21"/>
        <w:tabs>
          <w:tab w:val="left" w:pos="2012"/>
        </w:tabs>
        <w:spacing w:line="480" w:lineRule="exact"/>
        <w:ind w:left="0" w:firstLine="240" w:firstLineChars="100"/>
        <w:rPr>
          <w:spacing w:val="-6"/>
          <w:sz w:val="24"/>
        </w:rPr>
      </w:pPr>
      <w:r>
        <w:rPr>
          <w:rFonts w:hint="eastAsia"/>
          <w:sz w:val="24"/>
          <w:lang w:val="en-US"/>
        </w:rPr>
        <w:t xml:space="preserve">19.3 </w:t>
      </w:r>
      <w:r>
        <w:rPr>
          <w:sz w:val="24"/>
        </w:rPr>
        <w:t>在投标截止时间之后，投标人不得补充、修改投标文件。</w:t>
      </w:r>
    </w:p>
    <w:p>
      <w:pPr>
        <w:pStyle w:val="3"/>
        <w:spacing w:before="42" w:line="480" w:lineRule="exact"/>
        <w:ind w:left="0"/>
        <w:rPr>
          <w:lang w:val="en-US"/>
        </w:rPr>
      </w:pPr>
      <w:bookmarkStart w:id="37" w:name="_Toc32055_WPSOffice_Level2"/>
      <w:r>
        <w:rPr>
          <w:rFonts w:hint="eastAsia"/>
          <w:lang w:val="en-US"/>
        </w:rPr>
        <w:t>六、评审</w:t>
      </w:r>
      <w:bookmarkEnd w:id="37"/>
    </w:p>
    <w:p>
      <w:pPr>
        <w:pStyle w:val="21"/>
        <w:tabs>
          <w:tab w:val="left" w:pos="1832"/>
          <w:tab w:val="left" w:pos="4231"/>
        </w:tabs>
        <w:spacing w:line="480" w:lineRule="exact"/>
        <w:ind w:left="0" w:firstLine="0"/>
        <w:outlineLvl w:val="2"/>
        <w:rPr>
          <w:b/>
          <w:sz w:val="24"/>
          <w:lang w:val="en-US"/>
        </w:rPr>
      </w:pPr>
      <w:r>
        <w:rPr>
          <w:rFonts w:hint="eastAsia"/>
          <w:b/>
          <w:sz w:val="24"/>
          <w:lang w:val="en-US"/>
        </w:rPr>
        <w:t>20.审委员会</w:t>
      </w:r>
    </w:p>
    <w:p>
      <w:pPr>
        <w:pStyle w:val="21"/>
        <w:tabs>
          <w:tab w:val="left" w:pos="1952"/>
        </w:tabs>
        <w:spacing w:line="480" w:lineRule="exact"/>
        <w:ind w:left="0" w:firstLine="232" w:firstLineChars="100"/>
        <w:rPr>
          <w:sz w:val="24"/>
        </w:rPr>
      </w:pPr>
      <w:r>
        <w:rPr>
          <w:rFonts w:hint="eastAsia"/>
          <w:spacing w:val="-4"/>
          <w:sz w:val="24"/>
          <w:lang w:val="en-US"/>
        </w:rPr>
        <w:t xml:space="preserve">20.1 </w:t>
      </w:r>
      <w:r>
        <w:rPr>
          <w:color w:val="FF0000"/>
          <w:spacing w:val="-4"/>
          <w:sz w:val="24"/>
        </w:rPr>
        <w:t>评标由招标人依法组建的评标委员会负责。评标委员会由有关技术、经</w:t>
      </w:r>
      <w:r>
        <w:rPr>
          <w:color w:val="FF0000"/>
          <w:sz w:val="24"/>
        </w:rPr>
        <w:t>济等方面的专家组成，从山东省评标专家库随机抽取产生。</w:t>
      </w:r>
    </w:p>
    <w:p>
      <w:pPr>
        <w:pStyle w:val="8"/>
        <w:spacing w:before="2" w:line="480" w:lineRule="exact"/>
        <w:ind w:firstLine="240" w:firstLineChars="100"/>
      </w:pPr>
      <w:r>
        <w:rPr>
          <w:rFonts w:hint="eastAsia"/>
          <w:lang w:val="en-US"/>
        </w:rPr>
        <w:t xml:space="preserve">20.2 </w:t>
      </w:r>
      <w:r>
        <w:t>评标委员会成员有下列情形之一的，应当回避：</w:t>
      </w:r>
    </w:p>
    <w:p>
      <w:pPr>
        <w:pStyle w:val="21"/>
        <w:tabs>
          <w:tab w:val="left" w:pos="2013"/>
        </w:tabs>
        <w:spacing w:line="480" w:lineRule="exact"/>
        <w:ind w:left="-11" w:firstLine="240" w:firstLineChars="100"/>
        <w:rPr>
          <w:sz w:val="24"/>
        </w:rPr>
      </w:pPr>
      <w:r>
        <w:rPr>
          <w:rFonts w:hint="eastAsia"/>
          <w:sz w:val="24"/>
        </w:rPr>
        <w:t>（</w:t>
      </w:r>
      <w:r>
        <w:rPr>
          <w:rFonts w:hint="eastAsia"/>
          <w:sz w:val="24"/>
          <w:lang w:val="en-US"/>
        </w:rPr>
        <w:t>1</w:t>
      </w:r>
      <w:r>
        <w:rPr>
          <w:rFonts w:hint="eastAsia"/>
          <w:sz w:val="24"/>
        </w:rPr>
        <w:t>）</w:t>
      </w:r>
      <w:r>
        <w:rPr>
          <w:sz w:val="24"/>
        </w:rPr>
        <w:t>招标人或投标人的主要负责人的近亲属；</w:t>
      </w:r>
    </w:p>
    <w:p>
      <w:pPr>
        <w:pStyle w:val="21"/>
        <w:tabs>
          <w:tab w:val="left" w:pos="2013"/>
        </w:tabs>
        <w:spacing w:line="480" w:lineRule="exact"/>
        <w:ind w:left="-11" w:firstLine="240" w:firstLineChars="100"/>
        <w:rPr>
          <w:sz w:val="24"/>
        </w:rPr>
      </w:pPr>
      <w:r>
        <w:rPr>
          <w:rFonts w:hint="eastAsia"/>
          <w:sz w:val="24"/>
        </w:rPr>
        <w:t>（</w:t>
      </w:r>
      <w:r>
        <w:rPr>
          <w:rFonts w:hint="eastAsia"/>
          <w:sz w:val="24"/>
          <w:lang w:val="en-US"/>
        </w:rPr>
        <w:t>2</w:t>
      </w:r>
      <w:r>
        <w:rPr>
          <w:rFonts w:hint="eastAsia"/>
          <w:sz w:val="24"/>
        </w:rPr>
        <w:t>）</w:t>
      </w:r>
      <w:r>
        <w:rPr>
          <w:sz w:val="24"/>
        </w:rPr>
        <w:t>项目主管部门或者行政监督部门的人员；</w:t>
      </w:r>
    </w:p>
    <w:p>
      <w:pPr>
        <w:pStyle w:val="21"/>
        <w:tabs>
          <w:tab w:val="left" w:pos="2013"/>
        </w:tabs>
        <w:spacing w:line="480" w:lineRule="exact"/>
        <w:ind w:left="-11" w:firstLine="240" w:firstLineChars="100"/>
        <w:rPr>
          <w:sz w:val="24"/>
        </w:rPr>
      </w:pPr>
      <w:r>
        <w:rPr>
          <w:rFonts w:hint="eastAsia"/>
          <w:sz w:val="24"/>
        </w:rPr>
        <w:t>（</w:t>
      </w:r>
      <w:r>
        <w:rPr>
          <w:rFonts w:hint="eastAsia"/>
          <w:sz w:val="24"/>
          <w:lang w:val="en-US"/>
        </w:rPr>
        <w:t>3</w:t>
      </w:r>
      <w:r>
        <w:rPr>
          <w:rFonts w:hint="eastAsia"/>
          <w:sz w:val="24"/>
        </w:rPr>
        <w:t>）</w:t>
      </w:r>
      <w:r>
        <w:rPr>
          <w:sz w:val="24"/>
        </w:rPr>
        <w:t>与投标人有经济利益关系，可能影响对投标公正评审的；</w:t>
      </w:r>
    </w:p>
    <w:p>
      <w:pPr>
        <w:pStyle w:val="21"/>
        <w:tabs>
          <w:tab w:val="left" w:pos="2013"/>
        </w:tabs>
        <w:spacing w:line="480" w:lineRule="exact"/>
        <w:ind w:left="-11" w:firstLine="224" w:firstLineChars="100"/>
        <w:rPr>
          <w:sz w:val="24"/>
        </w:rPr>
      </w:pPr>
      <w:r>
        <w:rPr>
          <w:rFonts w:hint="eastAsia"/>
          <w:spacing w:val="-8"/>
          <w:sz w:val="24"/>
        </w:rPr>
        <w:t>（</w:t>
      </w:r>
      <w:r>
        <w:rPr>
          <w:rFonts w:hint="eastAsia"/>
          <w:spacing w:val="-8"/>
          <w:sz w:val="24"/>
          <w:lang w:val="en-US"/>
        </w:rPr>
        <w:t>4</w:t>
      </w:r>
      <w:r>
        <w:rPr>
          <w:rFonts w:hint="eastAsia"/>
          <w:spacing w:val="-8"/>
          <w:sz w:val="24"/>
        </w:rPr>
        <w:t>）</w:t>
      </w:r>
      <w:r>
        <w:rPr>
          <w:spacing w:val="-8"/>
          <w:sz w:val="24"/>
        </w:rPr>
        <w:t>曾因在招标、评标以及其他与招标投标有关活动中从事违法行为而受</w:t>
      </w:r>
      <w:r>
        <w:rPr>
          <w:spacing w:val="-4"/>
          <w:sz w:val="24"/>
        </w:rPr>
        <w:t>过行政处罚或刑事处罚的。</w:t>
      </w:r>
    </w:p>
    <w:p>
      <w:pPr>
        <w:pStyle w:val="21"/>
        <w:tabs>
          <w:tab w:val="left" w:pos="2013"/>
        </w:tabs>
        <w:spacing w:line="480" w:lineRule="exact"/>
        <w:ind w:left="0" w:firstLine="240" w:firstLineChars="100"/>
        <w:rPr>
          <w:sz w:val="24"/>
        </w:rPr>
      </w:pPr>
      <w:r>
        <w:rPr>
          <w:rFonts w:hint="eastAsia"/>
          <w:sz w:val="24"/>
          <w:lang w:val="en-US"/>
        </w:rPr>
        <w:t xml:space="preserve">20.3 </w:t>
      </w:r>
      <w:r>
        <w:rPr>
          <w:sz w:val="24"/>
        </w:rPr>
        <w:t>评审委员会完成评审后，应当提出书面评审报告。评审报告应当包括报价情况、废除报价处理和否决报价情况、合格的报价情况、评审方法和标准、评审报价或者评分比较、推荐的中标候选人及其排列顺序、需要澄清或者说明的其他情况等。</w:t>
      </w:r>
    </w:p>
    <w:p>
      <w:pPr>
        <w:pStyle w:val="21"/>
        <w:tabs>
          <w:tab w:val="left" w:pos="2013"/>
        </w:tabs>
        <w:spacing w:line="480" w:lineRule="exact"/>
        <w:ind w:left="-11" w:firstLine="240" w:firstLineChars="100"/>
        <w:rPr>
          <w:sz w:val="24"/>
        </w:rPr>
      </w:pPr>
      <w:r>
        <w:rPr>
          <w:rFonts w:hint="eastAsia"/>
          <w:sz w:val="24"/>
          <w:lang w:val="en-US"/>
        </w:rPr>
        <w:t xml:space="preserve">20.4 </w:t>
      </w:r>
      <w:r>
        <w:rPr>
          <w:sz w:val="24"/>
        </w:rPr>
        <w:t>评审报告应当由评审委员会全体成员签字。评审委员会成员对评审报告有异议的，应当以书面方式阐明其不同意见和理由；拒绝签字且不阐明其不同意见和理由的，视为同意评审报告并以附件的形式记入评审报告。评审委员会向招标人提交书面评审报告后，评审委员会即告解散。评审过程中使用的文件、表格以及其它资料应当立即交招标代理机构。</w:t>
      </w:r>
    </w:p>
    <w:p>
      <w:pPr>
        <w:pStyle w:val="21"/>
        <w:tabs>
          <w:tab w:val="left" w:pos="1832"/>
          <w:tab w:val="left" w:pos="4231"/>
        </w:tabs>
        <w:spacing w:line="480" w:lineRule="exact"/>
        <w:ind w:left="0" w:firstLine="0"/>
        <w:outlineLvl w:val="2"/>
        <w:rPr>
          <w:b/>
          <w:sz w:val="24"/>
          <w:lang w:val="en-US"/>
        </w:rPr>
      </w:pPr>
      <w:r>
        <w:rPr>
          <w:rFonts w:hint="eastAsia"/>
          <w:b/>
          <w:sz w:val="24"/>
          <w:lang w:val="en-US"/>
        </w:rPr>
        <w:t>21. 评标原则</w:t>
      </w:r>
    </w:p>
    <w:p>
      <w:pPr>
        <w:pStyle w:val="8"/>
        <w:spacing w:before="194" w:line="388" w:lineRule="auto"/>
        <w:ind w:firstLine="214" w:firstLineChars="100"/>
      </w:pPr>
      <w:r>
        <w:rPr>
          <w:spacing w:val="-13"/>
        </w:rPr>
        <w:t>“公平、公正、择优、效益”为本次评标的基本原则，评审委员会按照这一</w:t>
      </w:r>
      <w:r>
        <w:rPr>
          <w:spacing w:val="-1"/>
        </w:rPr>
        <w:t>原则的要求，公正、平等地对待各投标人。同时，在评审过程中恪守以下原则：</w:t>
      </w:r>
    </w:p>
    <w:p>
      <w:pPr>
        <w:pStyle w:val="21"/>
        <w:tabs>
          <w:tab w:val="left" w:pos="2012"/>
        </w:tabs>
        <w:spacing w:before="2" w:line="391" w:lineRule="auto"/>
        <w:ind w:left="0" w:firstLine="218" w:firstLineChars="100"/>
        <w:jc w:val="both"/>
        <w:rPr>
          <w:sz w:val="24"/>
        </w:rPr>
      </w:pPr>
      <w:r>
        <w:rPr>
          <w:rFonts w:hint="eastAsia"/>
          <w:spacing w:val="-11"/>
          <w:sz w:val="24"/>
          <w:lang w:val="en-US"/>
        </w:rPr>
        <w:t xml:space="preserve">21.1 </w:t>
      </w:r>
      <w:r>
        <w:rPr>
          <w:spacing w:val="-11"/>
          <w:sz w:val="24"/>
        </w:rPr>
        <w:t>客观性原则：评审委员会将严格按照招标文件要求的内容，对投标人的</w:t>
      </w:r>
      <w:r>
        <w:rPr>
          <w:spacing w:val="-1"/>
          <w:sz w:val="24"/>
        </w:rPr>
        <w:t>投标文件进行认真评审；评审委员会对投标文件的评审仅依据投标文件本身，而</w:t>
      </w:r>
      <w:r>
        <w:rPr>
          <w:sz w:val="24"/>
        </w:rPr>
        <w:t>不依靠投标文件以外的任何因素；</w:t>
      </w:r>
    </w:p>
    <w:p>
      <w:pPr>
        <w:pStyle w:val="21"/>
        <w:tabs>
          <w:tab w:val="left" w:pos="2012"/>
        </w:tabs>
        <w:spacing w:line="391" w:lineRule="auto"/>
        <w:ind w:left="0" w:firstLine="218" w:firstLineChars="100"/>
        <w:jc w:val="both"/>
        <w:rPr>
          <w:sz w:val="24"/>
        </w:rPr>
      </w:pPr>
      <w:r>
        <w:rPr>
          <w:rFonts w:hint="eastAsia"/>
          <w:spacing w:val="-11"/>
          <w:sz w:val="24"/>
          <w:lang w:val="en-US"/>
        </w:rPr>
        <w:t xml:space="preserve">21.2 </w:t>
      </w:r>
      <w:r>
        <w:rPr>
          <w:spacing w:val="-11"/>
          <w:sz w:val="24"/>
        </w:rPr>
        <w:t>统一性原则：评审委员会将按照统一的评标原则和评审方法，用同一标</w:t>
      </w:r>
      <w:r>
        <w:rPr>
          <w:sz w:val="24"/>
        </w:rPr>
        <w:t>准对各投标人的投标文件进行评审；</w:t>
      </w:r>
    </w:p>
    <w:p>
      <w:pPr>
        <w:pStyle w:val="21"/>
        <w:tabs>
          <w:tab w:val="left" w:pos="2012"/>
        </w:tabs>
        <w:spacing w:line="388" w:lineRule="auto"/>
        <w:ind w:left="0" w:firstLine="216" w:firstLineChars="100"/>
        <w:jc w:val="both"/>
        <w:rPr>
          <w:sz w:val="24"/>
        </w:rPr>
      </w:pPr>
      <w:r>
        <w:rPr>
          <w:rFonts w:hint="eastAsia"/>
          <w:spacing w:val="-12"/>
          <w:sz w:val="24"/>
          <w:lang w:val="en-US"/>
        </w:rPr>
        <w:t xml:space="preserve">21.3 </w:t>
      </w:r>
      <w:r>
        <w:rPr>
          <w:spacing w:val="-12"/>
          <w:sz w:val="24"/>
        </w:rPr>
        <w:t>独立性原则：评审工作在评审委员会内部独立进行，不受外界任何因素</w:t>
      </w:r>
      <w:r>
        <w:rPr>
          <w:sz w:val="24"/>
        </w:rPr>
        <w:t>的干扰和影响。评审委员会成员对出具的评审意见承担个人责任；</w:t>
      </w:r>
    </w:p>
    <w:p>
      <w:pPr>
        <w:pStyle w:val="21"/>
        <w:tabs>
          <w:tab w:val="left" w:pos="1952"/>
        </w:tabs>
        <w:spacing w:line="388" w:lineRule="auto"/>
        <w:ind w:left="0" w:firstLine="224" w:firstLineChars="100"/>
        <w:jc w:val="both"/>
        <w:rPr>
          <w:sz w:val="24"/>
        </w:rPr>
      </w:pPr>
      <w:r>
        <w:rPr>
          <w:rFonts w:hint="eastAsia"/>
          <w:spacing w:val="-8"/>
          <w:sz w:val="24"/>
          <w:lang w:val="en-US"/>
        </w:rPr>
        <w:t xml:space="preserve">21.4 </w:t>
      </w:r>
      <w:r>
        <w:rPr>
          <w:spacing w:val="-8"/>
          <w:sz w:val="24"/>
        </w:rPr>
        <w:t>保密性原则：招标代理机构应当采取必要的措施，保证评审在严格保密</w:t>
      </w:r>
      <w:r>
        <w:rPr>
          <w:sz w:val="24"/>
        </w:rPr>
        <w:t>的情况下进行；</w:t>
      </w:r>
    </w:p>
    <w:p>
      <w:pPr>
        <w:pStyle w:val="21"/>
        <w:tabs>
          <w:tab w:val="left" w:pos="2012"/>
        </w:tabs>
        <w:spacing w:before="2" w:line="391" w:lineRule="auto"/>
        <w:ind w:left="0" w:firstLine="216" w:firstLineChars="100"/>
        <w:jc w:val="both"/>
        <w:rPr>
          <w:sz w:val="24"/>
        </w:rPr>
      </w:pPr>
      <w:r>
        <w:rPr>
          <w:rFonts w:hint="eastAsia"/>
          <w:spacing w:val="-12"/>
          <w:sz w:val="24"/>
          <w:lang w:val="en-US"/>
        </w:rPr>
        <w:t xml:space="preserve">21.5 </w:t>
      </w:r>
      <w:r>
        <w:rPr>
          <w:spacing w:val="-12"/>
          <w:sz w:val="24"/>
        </w:rPr>
        <w:t>综合性原则：评审委员会将综合分析、评审投标人的各项指标，而不以</w:t>
      </w:r>
      <w:r>
        <w:rPr>
          <w:sz w:val="24"/>
        </w:rPr>
        <w:t>单项指标的优劣推荐出中标候选人；</w:t>
      </w:r>
    </w:p>
    <w:p>
      <w:pPr>
        <w:pStyle w:val="21"/>
        <w:tabs>
          <w:tab w:val="left" w:pos="2013"/>
        </w:tabs>
        <w:spacing w:line="480" w:lineRule="exact"/>
        <w:ind w:left="0" w:firstLine="216" w:firstLineChars="100"/>
        <w:rPr>
          <w:sz w:val="24"/>
          <w:lang w:val="en-US"/>
        </w:rPr>
      </w:pPr>
      <w:r>
        <w:rPr>
          <w:rFonts w:hint="eastAsia"/>
          <w:spacing w:val="-12"/>
          <w:sz w:val="24"/>
          <w:lang w:val="en-US"/>
        </w:rPr>
        <w:t xml:space="preserve">21.6 </w:t>
      </w:r>
      <w:r>
        <w:rPr>
          <w:spacing w:val="-12"/>
          <w:sz w:val="24"/>
        </w:rPr>
        <w:t>集体决定的原则：中标候选人由评审委员会集体推荐，并由招标人宣布</w:t>
      </w:r>
      <w:r>
        <w:rPr>
          <w:sz w:val="24"/>
        </w:rPr>
        <w:t>中标候选人。</w:t>
      </w:r>
    </w:p>
    <w:p>
      <w:pPr>
        <w:pStyle w:val="21"/>
        <w:tabs>
          <w:tab w:val="left" w:pos="1832"/>
          <w:tab w:val="left" w:pos="4231"/>
        </w:tabs>
        <w:spacing w:line="480" w:lineRule="exact"/>
        <w:ind w:left="0" w:firstLine="0"/>
        <w:outlineLvl w:val="2"/>
        <w:rPr>
          <w:b/>
          <w:sz w:val="24"/>
          <w:lang w:val="en-US"/>
        </w:rPr>
      </w:pPr>
      <w:r>
        <w:rPr>
          <w:rFonts w:hint="eastAsia"/>
          <w:b/>
          <w:sz w:val="24"/>
          <w:lang w:val="en-US"/>
        </w:rPr>
        <w:t>22.无效投标</w:t>
      </w:r>
    </w:p>
    <w:p>
      <w:pPr>
        <w:pStyle w:val="8"/>
        <w:spacing w:before="42" w:line="480" w:lineRule="exact"/>
        <w:ind w:firstLine="228" w:firstLineChars="100"/>
      </w:pPr>
      <w:r>
        <w:rPr>
          <w:rFonts w:hint="eastAsia"/>
          <w:spacing w:val="-6"/>
          <w:lang w:val="en-US"/>
        </w:rPr>
        <w:t xml:space="preserve">22.1 </w:t>
      </w:r>
      <w:r>
        <w:rPr>
          <w:spacing w:val="-6"/>
        </w:rPr>
        <w:t>投标人有下列情形之一，其投标将被视为无效投标，招标代理机构将严</w:t>
      </w:r>
      <w:r>
        <w:rPr>
          <w:spacing w:val="-1"/>
        </w:rPr>
        <w:t>格按照相关法律、法规及规章制度的规定行使权利，给招标人及招标代理机构造</w:t>
      </w:r>
      <w:r>
        <w:t>成损失的，招标人及招标代理机构有索赔的权利，投标人应予以赔偿。情节严重的，由工商行政管理机关吊销营业执照；构成犯罪的，依法追究刑事责任。</w:t>
      </w:r>
    </w:p>
    <w:p>
      <w:pPr>
        <w:pStyle w:val="21"/>
        <w:tabs>
          <w:tab w:val="left" w:pos="1772"/>
        </w:tabs>
        <w:spacing w:before="2" w:line="480" w:lineRule="exact"/>
        <w:ind w:left="-11" w:leftChars="-5" w:firstLine="240" w:firstLineChars="100"/>
        <w:rPr>
          <w:sz w:val="24"/>
        </w:rPr>
      </w:pPr>
      <w:r>
        <w:rPr>
          <w:rFonts w:hint="eastAsia"/>
          <w:sz w:val="24"/>
          <w:lang w:val="en-US"/>
        </w:rPr>
        <w:t>1）</w:t>
      </w:r>
      <w:r>
        <w:rPr>
          <w:sz w:val="24"/>
        </w:rPr>
        <w:t>投标人提供的有关资格、资质证明文件不真实或提供虚假报价材料；</w:t>
      </w:r>
    </w:p>
    <w:p>
      <w:pPr>
        <w:pStyle w:val="21"/>
        <w:tabs>
          <w:tab w:val="left" w:pos="1772"/>
        </w:tabs>
        <w:spacing w:line="480" w:lineRule="exact"/>
        <w:ind w:left="-11" w:leftChars="-5" w:firstLine="240" w:firstLineChars="100"/>
        <w:rPr>
          <w:sz w:val="24"/>
        </w:rPr>
      </w:pPr>
      <w:r>
        <w:rPr>
          <w:rFonts w:hint="eastAsia"/>
          <w:sz w:val="24"/>
          <w:lang w:val="en-US"/>
        </w:rPr>
        <w:t>2）</w:t>
      </w:r>
      <w:r>
        <w:rPr>
          <w:sz w:val="24"/>
        </w:rPr>
        <w:t>投标人在投标有效期内撤回报价；</w:t>
      </w:r>
    </w:p>
    <w:p>
      <w:pPr>
        <w:pStyle w:val="21"/>
        <w:tabs>
          <w:tab w:val="left" w:pos="1772"/>
        </w:tabs>
        <w:spacing w:line="480" w:lineRule="exact"/>
        <w:ind w:left="-11" w:leftChars="-5" w:firstLine="240" w:firstLineChars="100"/>
        <w:rPr>
          <w:sz w:val="24"/>
        </w:rPr>
      </w:pPr>
      <w:r>
        <w:rPr>
          <w:rFonts w:hint="eastAsia"/>
          <w:sz w:val="24"/>
          <w:lang w:val="en-US"/>
        </w:rPr>
        <w:t>3）</w:t>
      </w:r>
      <w:r>
        <w:rPr>
          <w:sz w:val="24"/>
        </w:rPr>
        <w:t>在整个评审过程中，投标人有企图影响评审结果公正性的任何活动；</w:t>
      </w:r>
    </w:p>
    <w:p>
      <w:pPr>
        <w:pStyle w:val="21"/>
        <w:tabs>
          <w:tab w:val="left" w:pos="1772"/>
        </w:tabs>
        <w:spacing w:line="480" w:lineRule="exact"/>
        <w:ind w:left="-11" w:leftChars="-5" w:firstLine="240" w:firstLineChars="100"/>
        <w:rPr>
          <w:sz w:val="24"/>
        </w:rPr>
      </w:pPr>
      <w:r>
        <w:rPr>
          <w:rFonts w:hint="eastAsia"/>
          <w:sz w:val="24"/>
          <w:lang w:val="en-US"/>
        </w:rPr>
        <w:t>4）</w:t>
      </w:r>
      <w:r>
        <w:rPr>
          <w:sz w:val="24"/>
        </w:rPr>
        <w:t>投标人以任何方式诋毁其他投标人；</w:t>
      </w:r>
    </w:p>
    <w:p>
      <w:pPr>
        <w:pStyle w:val="21"/>
        <w:tabs>
          <w:tab w:val="left" w:pos="1772"/>
        </w:tabs>
        <w:spacing w:line="480" w:lineRule="exact"/>
        <w:ind w:left="-11" w:leftChars="-5" w:firstLine="230" w:firstLineChars="100"/>
        <w:jc w:val="both"/>
        <w:rPr>
          <w:sz w:val="24"/>
        </w:rPr>
      </w:pPr>
      <w:r>
        <w:rPr>
          <w:rFonts w:hint="eastAsia"/>
          <w:spacing w:val="-5"/>
          <w:sz w:val="24"/>
          <w:lang w:val="en-US"/>
        </w:rPr>
        <w:t>5）</w:t>
      </w:r>
      <w:r>
        <w:rPr>
          <w:spacing w:val="-5"/>
          <w:sz w:val="24"/>
        </w:rPr>
        <w:t>投标人串通报价；</w:t>
      </w:r>
      <w:r>
        <w:rPr>
          <w:spacing w:val="-40"/>
          <w:sz w:val="24"/>
        </w:rPr>
        <w:t>（</w:t>
      </w:r>
      <w:r>
        <w:rPr>
          <w:spacing w:val="-5"/>
          <w:sz w:val="24"/>
        </w:rPr>
        <w:t>指投标人之间私下串通，共同损害招标人或其他投标</w:t>
      </w:r>
      <w:r>
        <w:rPr>
          <w:sz w:val="24"/>
        </w:rPr>
        <w:t>人的利益，或者投标人与招标人</w:t>
      </w:r>
      <w:r>
        <w:fldChar w:fldCharType="begin"/>
      </w:r>
      <w:r>
        <w:instrText xml:space="preserve">HYPERLINK "http://baike.baidu.com/view/8426.htm" </w:instrText>
      </w:r>
      <w:r>
        <w:fldChar w:fldCharType="separate"/>
      </w:r>
      <w:r>
        <w:rPr>
          <w:sz w:val="24"/>
        </w:rPr>
        <w:t>之间相互勾结，损害国家</w:t>
      </w:r>
      <w:r>
        <w:fldChar w:fldCharType="end"/>
      </w:r>
      <w:r>
        <w:rPr>
          <w:spacing w:val="-2"/>
          <w:sz w:val="24"/>
        </w:rPr>
        <w:t>、集体、公民的合法权</w:t>
      </w:r>
      <w:r>
        <w:rPr>
          <w:spacing w:val="-1"/>
          <w:sz w:val="24"/>
        </w:rPr>
        <w:t>益</w:t>
      </w:r>
      <w:r>
        <w:rPr>
          <w:sz w:val="24"/>
        </w:rPr>
        <w:t>）</w:t>
      </w:r>
    </w:p>
    <w:p>
      <w:pPr>
        <w:pStyle w:val="21"/>
        <w:tabs>
          <w:tab w:val="left" w:pos="1772"/>
        </w:tabs>
        <w:spacing w:line="480" w:lineRule="exact"/>
        <w:ind w:left="-11" w:leftChars="-5" w:firstLine="240" w:firstLineChars="100"/>
        <w:rPr>
          <w:sz w:val="24"/>
        </w:rPr>
      </w:pPr>
      <w:r>
        <w:rPr>
          <w:rFonts w:hint="eastAsia"/>
          <w:sz w:val="24"/>
          <w:lang w:val="en-US"/>
        </w:rPr>
        <w:t>6）</w:t>
      </w:r>
      <w:r>
        <w:rPr>
          <w:sz w:val="24"/>
        </w:rPr>
        <w:t>以他人名义投标或者以其他方式弄虚作假，骗取中标；</w:t>
      </w:r>
    </w:p>
    <w:p>
      <w:pPr>
        <w:pStyle w:val="21"/>
        <w:tabs>
          <w:tab w:val="left" w:pos="1772"/>
        </w:tabs>
        <w:spacing w:line="480" w:lineRule="exact"/>
        <w:ind w:left="-11" w:leftChars="-5" w:firstLine="240" w:firstLineChars="100"/>
        <w:rPr>
          <w:sz w:val="24"/>
        </w:rPr>
      </w:pPr>
      <w:r>
        <w:rPr>
          <w:rFonts w:hint="eastAsia"/>
          <w:sz w:val="24"/>
          <w:lang w:val="en-US"/>
        </w:rPr>
        <w:t>7）</w:t>
      </w:r>
      <w:r>
        <w:rPr>
          <w:sz w:val="24"/>
        </w:rPr>
        <w:t>中标人不按规定签订合同；</w:t>
      </w:r>
    </w:p>
    <w:p>
      <w:pPr>
        <w:pStyle w:val="21"/>
        <w:tabs>
          <w:tab w:val="left" w:pos="1772"/>
        </w:tabs>
        <w:spacing w:line="480" w:lineRule="exact"/>
        <w:ind w:left="-11" w:leftChars="-5" w:firstLine="240" w:firstLineChars="100"/>
        <w:rPr>
          <w:sz w:val="24"/>
        </w:rPr>
      </w:pPr>
      <w:r>
        <w:rPr>
          <w:rFonts w:hint="eastAsia"/>
          <w:sz w:val="24"/>
          <w:lang w:val="en-US"/>
        </w:rPr>
        <w:t>8）</w:t>
      </w:r>
      <w:r>
        <w:rPr>
          <w:sz w:val="24"/>
        </w:rPr>
        <w:t>法律、法规规定的其他情况。</w:t>
      </w:r>
    </w:p>
    <w:p>
      <w:pPr>
        <w:pStyle w:val="21"/>
        <w:tabs>
          <w:tab w:val="left" w:pos="1832"/>
          <w:tab w:val="left" w:pos="4231"/>
        </w:tabs>
        <w:spacing w:line="480" w:lineRule="exact"/>
        <w:ind w:left="0" w:firstLine="0"/>
        <w:outlineLvl w:val="2"/>
        <w:rPr>
          <w:b/>
          <w:sz w:val="24"/>
          <w:lang w:val="en-US"/>
        </w:rPr>
      </w:pPr>
      <w:r>
        <w:rPr>
          <w:rFonts w:hint="eastAsia"/>
          <w:b/>
          <w:sz w:val="24"/>
          <w:lang w:val="en-US"/>
        </w:rPr>
        <w:t>23.无效报价与废标</w:t>
      </w:r>
    </w:p>
    <w:p>
      <w:pPr>
        <w:pStyle w:val="21"/>
        <w:tabs>
          <w:tab w:val="left" w:pos="1533"/>
        </w:tabs>
        <w:spacing w:line="480" w:lineRule="exact"/>
        <w:ind w:left="0" w:firstLine="0"/>
        <w:rPr>
          <w:sz w:val="24"/>
        </w:rPr>
      </w:pPr>
      <w:r>
        <w:rPr>
          <w:rFonts w:hint="eastAsia"/>
          <w:sz w:val="24"/>
        </w:rPr>
        <w:t>（</w:t>
      </w:r>
      <w:r>
        <w:rPr>
          <w:rFonts w:hint="eastAsia"/>
          <w:sz w:val="24"/>
          <w:lang w:val="en-US"/>
        </w:rPr>
        <w:t>1</w:t>
      </w:r>
      <w:r>
        <w:rPr>
          <w:rFonts w:hint="eastAsia"/>
          <w:sz w:val="24"/>
        </w:rPr>
        <w:t>）</w:t>
      </w:r>
      <w:r>
        <w:rPr>
          <w:sz w:val="24"/>
        </w:rPr>
        <w:t>投标人有下列情况之一，其报价视为无效报价：</w:t>
      </w:r>
    </w:p>
    <w:p>
      <w:pPr>
        <w:pStyle w:val="21"/>
        <w:tabs>
          <w:tab w:val="left" w:pos="1533"/>
        </w:tabs>
        <w:spacing w:line="480" w:lineRule="exact"/>
        <w:ind w:left="0" w:firstLine="240" w:firstLineChars="100"/>
      </w:pPr>
      <w:r>
        <w:rPr>
          <w:rFonts w:hint="eastAsia"/>
          <w:sz w:val="24"/>
          <w:lang w:val="en-US"/>
        </w:rPr>
        <w:t>1）</w:t>
      </w:r>
      <w:r>
        <w:rPr>
          <w:sz w:val="24"/>
        </w:rPr>
        <w:t>未向采购代理机构登记并购买招标文件的；</w:t>
      </w:r>
    </w:p>
    <w:p>
      <w:pPr>
        <w:pStyle w:val="21"/>
        <w:tabs>
          <w:tab w:val="left" w:pos="1533"/>
        </w:tabs>
        <w:spacing w:line="480" w:lineRule="exact"/>
        <w:ind w:left="0" w:firstLine="240" w:firstLineChars="100"/>
      </w:pPr>
      <w:r>
        <w:rPr>
          <w:rFonts w:hint="eastAsia"/>
          <w:sz w:val="24"/>
          <w:lang w:val="en-US"/>
        </w:rPr>
        <w:t>2）</w:t>
      </w:r>
      <w:r>
        <w:rPr>
          <w:sz w:val="24"/>
        </w:rPr>
        <w:t>投标人未按规定提交报价保证金；</w:t>
      </w:r>
    </w:p>
    <w:p>
      <w:pPr>
        <w:pStyle w:val="21"/>
        <w:tabs>
          <w:tab w:val="left" w:pos="1533"/>
        </w:tabs>
        <w:spacing w:line="480" w:lineRule="exact"/>
        <w:ind w:left="0" w:firstLine="240" w:firstLineChars="100"/>
      </w:pPr>
      <w:r>
        <w:rPr>
          <w:rFonts w:hint="eastAsia"/>
          <w:sz w:val="24"/>
          <w:lang w:val="en-US"/>
        </w:rPr>
        <w:t>3）</w:t>
      </w:r>
      <w:r>
        <w:rPr>
          <w:sz w:val="24"/>
        </w:rPr>
        <w:t>投标人提供的投标文件不完整</w:t>
      </w:r>
    </w:p>
    <w:p>
      <w:pPr>
        <w:pStyle w:val="21"/>
        <w:tabs>
          <w:tab w:val="left" w:pos="1533"/>
        </w:tabs>
        <w:spacing w:line="480" w:lineRule="exact"/>
        <w:ind w:left="0" w:firstLine="240" w:firstLineChars="100"/>
      </w:pPr>
      <w:r>
        <w:rPr>
          <w:rFonts w:hint="eastAsia"/>
          <w:sz w:val="24"/>
          <w:lang w:val="en-US"/>
        </w:rPr>
        <w:t>4）</w:t>
      </w:r>
      <w:r>
        <w:rPr>
          <w:sz w:val="24"/>
        </w:rPr>
        <w:t>投标文件未按招标文件的规定编制、装订、密封、签署、盖章的；</w:t>
      </w:r>
    </w:p>
    <w:p>
      <w:pPr>
        <w:pStyle w:val="39"/>
        <w:tabs>
          <w:tab w:val="left" w:pos="1533"/>
        </w:tabs>
        <w:spacing w:line="480" w:lineRule="exact"/>
        <w:ind w:left="0" w:firstLine="240" w:firstLineChars="100"/>
      </w:pPr>
      <w:r>
        <w:rPr>
          <w:rFonts w:hint="eastAsia"/>
          <w:sz w:val="24"/>
          <w:lang w:val="en-US"/>
        </w:rPr>
        <w:t>6)</w:t>
      </w:r>
      <w:r>
        <w:rPr>
          <w:sz w:val="24"/>
        </w:rPr>
        <w:t>技术文件部分未列出详细配置、技术指标；</w:t>
      </w:r>
    </w:p>
    <w:p>
      <w:pPr>
        <w:pStyle w:val="39"/>
        <w:tabs>
          <w:tab w:val="left" w:pos="880"/>
        </w:tabs>
        <w:spacing w:line="480" w:lineRule="exact"/>
        <w:ind w:left="0" w:firstLine="220" w:firstLineChars="100"/>
      </w:pPr>
      <w:r>
        <w:rPr>
          <w:rFonts w:hint="eastAsia"/>
          <w:spacing w:val="-10"/>
          <w:sz w:val="24"/>
          <w:lang w:val="en-US"/>
        </w:rPr>
        <w:t>7)</w:t>
      </w:r>
      <w:r>
        <w:rPr>
          <w:spacing w:val="-10"/>
          <w:sz w:val="24"/>
        </w:rPr>
        <w:t xml:space="preserve">评标委员会 </w:t>
      </w:r>
      <w:r>
        <w:rPr>
          <w:sz w:val="24"/>
        </w:rPr>
        <w:t>2/3</w:t>
      </w:r>
      <w:r>
        <w:rPr>
          <w:spacing w:val="-27"/>
          <w:sz w:val="24"/>
        </w:rPr>
        <w:t xml:space="preserve"> 以上</w:t>
      </w:r>
      <w:r>
        <w:rPr>
          <w:sz w:val="24"/>
        </w:rPr>
        <w:t>（</w:t>
      </w:r>
      <w:r>
        <w:rPr>
          <w:spacing w:val="-30"/>
          <w:sz w:val="24"/>
        </w:rPr>
        <w:t xml:space="preserve">含 </w:t>
      </w:r>
      <w:r>
        <w:rPr>
          <w:spacing w:val="-5"/>
          <w:sz w:val="24"/>
        </w:rPr>
        <w:t>2/3）</w:t>
      </w:r>
      <w:r>
        <w:rPr>
          <w:spacing w:val="-1"/>
          <w:sz w:val="24"/>
        </w:rPr>
        <w:t>的成员认定投标文件复制招标文件的技术规</w:t>
      </w:r>
      <w:r>
        <w:rPr>
          <w:sz w:val="24"/>
        </w:rPr>
        <w:t>格内容作为其投标文件的一部分技术内容的；</w:t>
      </w:r>
    </w:p>
    <w:p>
      <w:pPr>
        <w:pStyle w:val="39"/>
        <w:tabs>
          <w:tab w:val="left" w:pos="1533"/>
        </w:tabs>
        <w:spacing w:before="2" w:line="480" w:lineRule="exact"/>
        <w:ind w:left="0" w:firstLine="240" w:firstLineChars="100"/>
      </w:pPr>
      <w:r>
        <w:rPr>
          <w:rFonts w:hint="eastAsia"/>
          <w:sz w:val="24"/>
          <w:lang w:val="en-US"/>
        </w:rPr>
        <w:t>8）</w:t>
      </w:r>
      <w:r>
        <w:rPr>
          <w:sz w:val="24"/>
        </w:rPr>
        <w:t>报价有效期不满足招标文件要求的；</w:t>
      </w:r>
    </w:p>
    <w:p>
      <w:pPr>
        <w:pStyle w:val="39"/>
        <w:tabs>
          <w:tab w:val="left" w:pos="1653"/>
        </w:tabs>
        <w:spacing w:line="480" w:lineRule="exact"/>
        <w:ind w:left="0" w:firstLine="240" w:firstLineChars="100"/>
      </w:pPr>
      <w:r>
        <w:rPr>
          <w:rFonts w:hint="eastAsia"/>
          <w:sz w:val="24"/>
          <w:lang w:val="en-US"/>
        </w:rPr>
        <w:t>9)</w:t>
      </w:r>
      <w:r>
        <w:rPr>
          <w:sz w:val="24"/>
        </w:rPr>
        <w:t>超出经营范围报价的；</w:t>
      </w:r>
    </w:p>
    <w:p>
      <w:pPr>
        <w:pStyle w:val="39"/>
        <w:tabs>
          <w:tab w:val="left" w:pos="1653"/>
        </w:tabs>
        <w:spacing w:line="480" w:lineRule="exact"/>
        <w:ind w:left="0" w:firstLine="240" w:firstLineChars="100"/>
      </w:pPr>
      <w:r>
        <w:rPr>
          <w:rFonts w:hint="eastAsia"/>
          <w:sz w:val="24"/>
          <w:lang w:val="en-US"/>
        </w:rPr>
        <w:t>10)</w:t>
      </w:r>
      <w:r>
        <w:rPr>
          <w:sz w:val="24"/>
        </w:rPr>
        <w:t>未按招标文件要求报价的；</w:t>
      </w:r>
    </w:p>
    <w:p>
      <w:pPr>
        <w:pStyle w:val="39"/>
        <w:tabs>
          <w:tab w:val="left" w:pos="1533"/>
        </w:tabs>
        <w:spacing w:before="2" w:line="480" w:lineRule="exact"/>
        <w:ind w:left="0" w:firstLine="240" w:firstLineChars="100"/>
        <w:rPr>
          <w:sz w:val="24"/>
          <w:lang w:val="en-US"/>
        </w:rPr>
      </w:pPr>
      <w:r>
        <w:rPr>
          <w:rFonts w:hint="eastAsia"/>
          <w:sz w:val="24"/>
          <w:lang w:val="en-US"/>
        </w:rPr>
        <w:t>11)报价超出项目预算的；</w:t>
      </w:r>
    </w:p>
    <w:p>
      <w:pPr>
        <w:pStyle w:val="39"/>
        <w:tabs>
          <w:tab w:val="left" w:pos="1533"/>
        </w:tabs>
        <w:spacing w:before="2" w:line="480" w:lineRule="exact"/>
        <w:ind w:left="0" w:firstLine="240" w:firstLineChars="100"/>
        <w:rPr>
          <w:sz w:val="24"/>
          <w:lang w:val="en-US"/>
        </w:rPr>
      </w:pPr>
      <w:r>
        <w:rPr>
          <w:rFonts w:hint="eastAsia"/>
          <w:sz w:val="24"/>
          <w:lang w:val="en-US"/>
        </w:rPr>
        <w:t>12)评标委员会 2/3 以上（含 2/3）的成员认定报价方案技术含量低或不符合招标文件要求的；</w:t>
      </w:r>
    </w:p>
    <w:p>
      <w:pPr>
        <w:pStyle w:val="39"/>
        <w:tabs>
          <w:tab w:val="left" w:pos="1533"/>
        </w:tabs>
        <w:spacing w:before="2" w:line="480" w:lineRule="exact"/>
        <w:ind w:left="0" w:firstLine="240" w:firstLineChars="100"/>
        <w:rPr>
          <w:sz w:val="24"/>
          <w:lang w:val="en-US"/>
        </w:rPr>
      </w:pPr>
      <w:r>
        <w:rPr>
          <w:rFonts w:hint="eastAsia"/>
          <w:sz w:val="24"/>
          <w:lang w:val="en-US"/>
        </w:rPr>
        <w:t>13)有重大偏离的；</w:t>
      </w:r>
    </w:p>
    <w:p>
      <w:pPr>
        <w:pStyle w:val="39"/>
        <w:tabs>
          <w:tab w:val="left" w:pos="1533"/>
        </w:tabs>
        <w:spacing w:before="2" w:line="480" w:lineRule="exact"/>
        <w:ind w:left="0" w:firstLine="240" w:firstLineChars="100"/>
        <w:rPr>
          <w:sz w:val="24"/>
          <w:lang w:val="en-US"/>
        </w:rPr>
      </w:pPr>
      <w:r>
        <w:rPr>
          <w:rFonts w:hint="eastAsia"/>
          <w:sz w:val="24"/>
          <w:lang w:val="en-US"/>
        </w:rPr>
        <w:t>14)投标人不参加报价仪式及询标事宜；</w:t>
      </w:r>
    </w:p>
    <w:p>
      <w:pPr>
        <w:pStyle w:val="39"/>
        <w:tabs>
          <w:tab w:val="left" w:pos="1533"/>
        </w:tabs>
        <w:spacing w:before="2" w:line="480" w:lineRule="exact"/>
        <w:ind w:left="0" w:firstLine="241" w:firstLineChars="100"/>
        <w:rPr>
          <w:b/>
          <w:bCs/>
          <w:sz w:val="24"/>
          <w:lang w:val="en-US"/>
        </w:rPr>
      </w:pPr>
      <w:r>
        <w:rPr>
          <w:rFonts w:hint="eastAsia"/>
          <w:b/>
          <w:bCs/>
          <w:sz w:val="24"/>
          <w:lang w:val="en-US"/>
        </w:rPr>
        <w:t>15）因投标人自身原因未在规定时间内上传投标文件电子文档、解密报价文件；</w:t>
      </w:r>
    </w:p>
    <w:p>
      <w:pPr>
        <w:pStyle w:val="39"/>
        <w:tabs>
          <w:tab w:val="left" w:pos="1533"/>
        </w:tabs>
        <w:spacing w:before="2" w:line="480" w:lineRule="exact"/>
        <w:ind w:left="0" w:firstLine="241" w:firstLineChars="100"/>
        <w:rPr>
          <w:b/>
          <w:bCs/>
          <w:sz w:val="24"/>
          <w:lang w:val="en-US"/>
        </w:rPr>
      </w:pPr>
      <w:r>
        <w:rPr>
          <w:rFonts w:hint="eastAsia"/>
          <w:b/>
          <w:bCs/>
          <w:sz w:val="24"/>
          <w:lang w:val="en-US"/>
        </w:rPr>
        <w:t>16）投标文件电子文档与纸质投标文件实质性内容不符，导致无法评审的。</w:t>
      </w:r>
    </w:p>
    <w:p>
      <w:pPr>
        <w:pStyle w:val="39"/>
        <w:tabs>
          <w:tab w:val="left" w:pos="1533"/>
        </w:tabs>
        <w:spacing w:before="2" w:line="480" w:lineRule="exact"/>
        <w:ind w:left="0" w:firstLine="240" w:firstLineChars="100"/>
        <w:rPr>
          <w:sz w:val="24"/>
          <w:lang w:val="en-US"/>
        </w:rPr>
      </w:pPr>
      <w:r>
        <w:rPr>
          <w:rFonts w:hint="eastAsia"/>
          <w:sz w:val="24"/>
          <w:lang w:val="en-US"/>
        </w:rPr>
        <w:t>17）不符合法律、法规和招标文件中规定的其他实质性要求的。</w:t>
      </w:r>
    </w:p>
    <w:p>
      <w:pPr>
        <w:pStyle w:val="21"/>
        <w:tabs>
          <w:tab w:val="left" w:pos="1533"/>
        </w:tabs>
        <w:spacing w:before="2" w:line="480" w:lineRule="exact"/>
        <w:ind w:left="0" w:firstLine="240" w:firstLineChars="100"/>
        <w:rPr>
          <w:sz w:val="24"/>
          <w:lang w:val="en-US"/>
        </w:rPr>
      </w:pPr>
    </w:p>
    <w:p>
      <w:pPr>
        <w:pStyle w:val="3"/>
        <w:spacing w:before="42" w:line="480" w:lineRule="exact"/>
        <w:ind w:left="0"/>
        <w:rPr>
          <w:lang w:val="en-US"/>
        </w:rPr>
      </w:pPr>
      <w:bookmarkStart w:id="38" w:name="_Toc18481_WPSOffice_Level2"/>
      <w:r>
        <w:rPr>
          <w:rFonts w:hint="eastAsia"/>
          <w:lang w:val="en-US"/>
        </w:rPr>
        <w:t>七、授予合同</w:t>
      </w:r>
      <w:bookmarkEnd w:id="38"/>
    </w:p>
    <w:p>
      <w:pPr>
        <w:pStyle w:val="21"/>
        <w:tabs>
          <w:tab w:val="left" w:pos="1832"/>
          <w:tab w:val="left" w:pos="4231"/>
        </w:tabs>
        <w:spacing w:line="480" w:lineRule="exact"/>
        <w:ind w:left="0" w:firstLine="0"/>
        <w:outlineLvl w:val="2"/>
        <w:rPr>
          <w:b/>
          <w:sz w:val="24"/>
          <w:lang w:val="en-US"/>
        </w:rPr>
      </w:pPr>
      <w:r>
        <w:rPr>
          <w:rFonts w:hint="eastAsia"/>
          <w:b/>
          <w:sz w:val="24"/>
          <w:lang w:val="en-US"/>
        </w:rPr>
        <w:t>24.接受或拒绝任何或所有投标的权力</w:t>
      </w:r>
    </w:p>
    <w:p>
      <w:pPr>
        <w:pStyle w:val="8"/>
        <w:spacing w:line="480" w:lineRule="exact"/>
        <w:ind w:firstLine="463" w:firstLineChars="193"/>
      </w:pPr>
      <w:r>
        <w:t>中标人的投标行为或结果如被投诉损害国家和社会公共利益的，经相关部门依法认定后，招标人在授予合同前，将依法拒绝其中标。</w:t>
      </w:r>
    </w:p>
    <w:p>
      <w:pPr>
        <w:pStyle w:val="21"/>
        <w:tabs>
          <w:tab w:val="left" w:pos="1832"/>
          <w:tab w:val="left" w:pos="4231"/>
        </w:tabs>
        <w:spacing w:line="480" w:lineRule="exact"/>
        <w:ind w:left="0" w:firstLine="0"/>
        <w:outlineLvl w:val="2"/>
        <w:rPr>
          <w:b/>
          <w:sz w:val="24"/>
          <w:lang w:val="en-US"/>
        </w:rPr>
      </w:pPr>
      <w:r>
        <w:rPr>
          <w:rFonts w:hint="eastAsia"/>
          <w:b/>
          <w:sz w:val="24"/>
          <w:lang w:val="en-US"/>
        </w:rPr>
        <w:t>25.中标人</w:t>
      </w:r>
    </w:p>
    <w:p>
      <w:pPr>
        <w:pStyle w:val="21"/>
        <w:tabs>
          <w:tab w:val="left" w:pos="1952"/>
        </w:tabs>
        <w:spacing w:line="480" w:lineRule="exact"/>
        <w:ind w:left="0" w:firstLine="236" w:firstLineChars="100"/>
        <w:jc w:val="both"/>
      </w:pPr>
      <w:r>
        <w:rPr>
          <w:rFonts w:hint="eastAsia"/>
          <w:spacing w:val="-2"/>
          <w:sz w:val="24"/>
          <w:lang w:val="en-US"/>
        </w:rPr>
        <w:t xml:space="preserve">25.1 </w:t>
      </w:r>
      <w:r>
        <w:rPr>
          <w:spacing w:val="-2"/>
          <w:sz w:val="24"/>
        </w:rPr>
        <w:t xml:space="preserve">评标委员会应当根据综合评分情况，按照评审得分由高到低顺序推荐 </w:t>
      </w:r>
      <w:r>
        <w:rPr>
          <w:spacing w:val="-14"/>
          <w:sz w:val="24"/>
        </w:rPr>
        <w:t xml:space="preserve">3 </w:t>
      </w:r>
      <w:r>
        <w:rPr>
          <w:spacing w:val="-3"/>
          <w:sz w:val="24"/>
        </w:rPr>
        <w:t xml:space="preserve">名成交候选人，并编写书面评审报告。招标人应当在收到评审报告 </w:t>
      </w:r>
      <w:r>
        <w:rPr>
          <w:sz w:val="24"/>
        </w:rPr>
        <w:t>2</w:t>
      </w:r>
      <w:r>
        <w:rPr>
          <w:spacing w:val="-13"/>
          <w:sz w:val="24"/>
        </w:rPr>
        <w:t xml:space="preserve"> 个工作日内</w:t>
      </w:r>
      <w:r>
        <w:rPr>
          <w:spacing w:val="-1"/>
          <w:sz w:val="24"/>
        </w:rPr>
        <w:t>确定排名第一的成交候选人为中标人。排名第一的中标候选人放弃成交、因不可抗力不能履行合同、不按照招标文件要求提交履约保证金，或者被查实存在影响中标结果的违法行为等情形，不符合中标交条件的，招标人可以按照评标委员</w:t>
      </w:r>
      <w:r>
        <w:rPr>
          <w:rFonts w:hint="eastAsia"/>
          <w:spacing w:val="-1"/>
          <w:sz w:val="24"/>
        </w:rPr>
        <w:t>会提出的中标候选人名单排序依次确定其他中标候选人为中标供应商，也可以重新组织招标。</w:t>
      </w:r>
    </w:p>
    <w:p>
      <w:pPr>
        <w:pStyle w:val="21"/>
        <w:tabs>
          <w:tab w:val="left" w:pos="2012"/>
        </w:tabs>
        <w:spacing w:before="2" w:line="480" w:lineRule="exact"/>
        <w:ind w:left="0" w:firstLine="234" w:firstLineChars="100"/>
        <w:rPr>
          <w:sz w:val="24"/>
        </w:rPr>
      </w:pPr>
      <w:r>
        <w:rPr>
          <w:rFonts w:hint="eastAsia"/>
          <w:spacing w:val="-3"/>
          <w:sz w:val="24"/>
          <w:lang w:val="en-US"/>
        </w:rPr>
        <w:t xml:space="preserve">25.2 </w:t>
      </w:r>
      <w:r>
        <w:rPr>
          <w:spacing w:val="-3"/>
          <w:sz w:val="24"/>
        </w:rPr>
        <w:t xml:space="preserve">确定中标结果后，在指定的网站上进行公示，公示时间为 </w:t>
      </w:r>
      <w:r>
        <w:rPr>
          <w:sz w:val="24"/>
        </w:rPr>
        <w:t>3</w:t>
      </w:r>
      <w:r>
        <w:rPr>
          <w:spacing w:val="-13"/>
          <w:sz w:val="24"/>
        </w:rPr>
        <w:t xml:space="preserve"> 个工作日。</w:t>
      </w:r>
      <w:r>
        <w:rPr>
          <w:spacing w:val="-12"/>
          <w:sz w:val="24"/>
        </w:rPr>
        <w:t>公示后，若无异议，招标代理机构在报价有效期内向中标人签发《中标通知书》。</w:t>
      </w:r>
    </w:p>
    <w:p>
      <w:pPr>
        <w:pStyle w:val="21"/>
        <w:tabs>
          <w:tab w:val="left" w:pos="2012"/>
        </w:tabs>
        <w:spacing w:line="480" w:lineRule="exact"/>
        <w:ind w:left="0" w:firstLine="240" w:firstLineChars="100"/>
        <w:rPr>
          <w:sz w:val="24"/>
        </w:rPr>
      </w:pPr>
      <w:r>
        <w:rPr>
          <w:rFonts w:hint="eastAsia"/>
          <w:sz w:val="24"/>
          <w:lang w:val="en-US"/>
        </w:rPr>
        <w:t>25.3</w:t>
      </w:r>
      <w:r>
        <w:rPr>
          <w:sz w:val="24"/>
        </w:rPr>
        <w:t>中标通知书是合同的一个组成部分。</w:t>
      </w:r>
    </w:p>
    <w:p>
      <w:pPr>
        <w:pStyle w:val="21"/>
        <w:tabs>
          <w:tab w:val="left" w:pos="1832"/>
          <w:tab w:val="left" w:pos="4231"/>
        </w:tabs>
        <w:spacing w:line="480" w:lineRule="exact"/>
        <w:ind w:left="0" w:firstLine="0"/>
        <w:outlineLvl w:val="2"/>
        <w:rPr>
          <w:b/>
          <w:sz w:val="24"/>
          <w:lang w:val="en-US"/>
        </w:rPr>
      </w:pPr>
      <w:r>
        <w:rPr>
          <w:rFonts w:hint="eastAsia"/>
          <w:b/>
          <w:sz w:val="24"/>
          <w:lang w:val="en-US"/>
        </w:rPr>
        <w:t>26.签订合同</w:t>
      </w:r>
    </w:p>
    <w:p>
      <w:pPr>
        <w:pStyle w:val="21"/>
        <w:tabs>
          <w:tab w:val="left" w:pos="2012"/>
        </w:tabs>
        <w:spacing w:line="480" w:lineRule="exact"/>
        <w:ind w:left="0" w:firstLine="228" w:firstLineChars="100"/>
        <w:rPr>
          <w:sz w:val="24"/>
        </w:rPr>
      </w:pPr>
      <w:r>
        <w:rPr>
          <w:rFonts w:hint="eastAsia"/>
          <w:spacing w:val="-6"/>
          <w:sz w:val="24"/>
          <w:lang w:val="en-US"/>
        </w:rPr>
        <w:t xml:space="preserve">26.1 </w:t>
      </w:r>
      <w:r>
        <w:rPr>
          <w:spacing w:val="-6"/>
          <w:sz w:val="24"/>
        </w:rPr>
        <w:t xml:space="preserve">中标通知书发出之日起 </w:t>
      </w:r>
      <w:r>
        <w:rPr>
          <w:sz w:val="24"/>
        </w:rPr>
        <w:t>30</w:t>
      </w:r>
      <w:r>
        <w:rPr>
          <w:spacing w:val="-8"/>
          <w:sz w:val="24"/>
        </w:rPr>
        <w:t xml:space="preserve"> 日内，按照招标文件确定的事项签订合同。</w:t>
      </w:r>
    </w:p>
    <w:p>
      <w:pPr>
        <w:pStyle w:val="21"/>
        <w:tabs>
          <w:tab w:val="left" w:pos="2012"/>
        </w:tabs>
        <w:spacing w:line="480" w:lineRule="exact"/>
        <w:ind w:left="0" w:firstLine="214" w:firstLineChars="100"/>
        <w:rPr>
          <w:sz w:val="24"/>
        </w:rPr>
      </w:pPr>
      <w:r>
        <w:rPr>
          <w:rFonts w:hint="eastAsia"/>
          <w:spacing w:val="-13"/>
          <w:sz w:val="24"/>
          <w:lang w:val="en-US"/>
        </w:rPr>
        <w:t xml:space="preserve">26.2 </w:t>
      </w:r>
      <w:r>
        <w:rPr>
          <w:spacing w:val="-13"/>
          <w:sz w:val="24"/>
        </w:rPr>
        <w:t>招标文件、中标人的投标文件以及评审过程中的承诺文件等均为合同的</w:t>
      </w:r>
      <w:r>
        <w:rPr>
          <w:sz w:val="24"/>
        </w:rPr>
        <w:t>组成部分。</w:t>
      </w:r>
    </w:p>
    <w:p>
      <w:pPr>
        <w:pStyle w:val="21"/>
        <w:tabs>
          <w:tab w:val="left" w:pos="1952"/>
        </w:tabs>
        <w:spacing w:before="5" w:line="480" w:lineRule="exact"/>
        <w:ind w:left="0" w:firstLine="241" w:firstLineChars="100"/>
        <w:rPr>
          <w:sz w:val="24"/>
        </w:rPr>
      </w:pPr>
      <w:r>
        <w:rPr>
          <w:rFonts w:hint="eastAsia"/>
          <w:b/>
          <w:sz w:val="24"/>
          <w:lang w:val="en-US"/>
        </w:rPr>
        <w:t xml:space="preserve">26.3 </w:t>
      </w:r>
      <w:r>
        <w:rPr>
          <w:b/>
          <w:sz w:val="24"/>
        </w:rPr>
        <w:t>中标人无正当理由未在规定时间内与招标人签订合同的</w:t>
      </w:r>
      <w:r>
        <w:rPr>
          <w:spacing w:val="-13"/>
          <w:sz w:val="24"/>
        </w:rPr>
        <w:t>，招标人有权建议取消其中标资格，监管部门将对其依法处理。</w:t>
      </w:r>
    </w:p>
    <w:p>
      <w:pPr>
        <w:pStyle w:val="21"/>
        <w:tabs>
          <w:tab w:val="left" w:pos="1952"/>
        </w:tabs>
        <w:spacing w:before="2" w:line="480" w:lineRule="exact"/>
        <w:ind w:left="0" w:firstLine="230" w:firstLineChars="100"/>
        <w:jc w:val="both"/>
        <w:rPr>
          <w:sz w:val="24"/>
        </w:rPr>
      </w:pPr>
      <w:r>
        <w:rPr>
          <w:rFonts w:hint="eastAsia"/>
          <w:spacing w:val="-5"/>
          <w:sz w:val="24"/>
          <w:lang w:val="en-US"/>
        </w:rPr>
        <w:t xml:space="preserve">26.4 </w:t>
      </w:r>
      <w:r>
        <w:rPr>
          <w:spacing w:val="-5"/>
          <w:sz w:val="24"/>
        </w:rPr>
        <w:t>招标人在评标委员会推荐的中标候选人中，依法确定排名第一的中标候</w:t>
      </w:r>
      <w:r>
        <w:rPr>
          <w:spacing w:val="-1"/>
          <w:sz w:val="24"/>
        </w:rPr>
        <w:t>选人为中标人，排名第一的中标候选人因不可抗力或者自身原因不能履行政府采购合同的，招标人可以确定排名第二的中标候选人为中标人，排名第二的中标候选人因不可抗力或者自身原因不能履行政府采购合同的，招标人可以确定排名第</w:t>
      </w:r>
      <w:r>
        <w:rPr>
          <w:sz w:val="24"/>
        </w:rPr>
        <w:t>三的中标候选人为中标人或重新招标。</w:t>
      </w:r>
    </w:p>
    <w:p>
      <w:pPr>
        <w:pStyle w:val="21"/>
        <w:tabs>
          <w:tab w:val="left" w:pos="1832"/>
          <w:tab w:val="left" w:pos="4231"/>
        </w:tabs>
        <w:spacing w:line="480" w:lineRule="exact"/>
        <w:ind w:left="0" w:firstLine="0"/>
        <w:outlineLvl w:val="2"/>
        <w:rPr>
          <w:b/>
          <w:sz w:val="24"/>
          <w:lang w:val="en-US"/>
        </w:rPr>
      </w:pPr>
      <w:r>
        <w:rPr>
          <w:rFonts w:hint="eastAsia"/>
          <w:b/>
          <w:sz w:val="24"/>
          <w:lang w:val="en-US"/>
        </w:rPr>
        <w:t>27.履约保证金</w:t>
      </w:r>
    </w:p>
    <w:p>
      <w:pPr>
        <w:pStyle w:val="21"/>
        <w:tabs>
          <w:tab w:val="left" w:pos="1952"/>
        </w:tabs>
        <w:spacing w:before="5" w:line="480" w:lineRule="exact"/>
        <w:ind w:left="0" w:firstLine="214" w:firstLineChars="100"/>
        <w:rPr>
          <w:spacing w:val="-13"/>
          <w:sz w:val="24"/>
        </w:rPr>
      </w:pPr>
      <w:r>
        <w:rPr>
          <w:rFonts w:hint="eastAsia"/>
          <w:spacing w:val="-13"/>
          <w:sz w:val="24"/>
          <w:lang w:val="en-US"/>
        </w:rPr>
        <w:t xml:space="preserve">27.1 </w:t>
      </w:r>
      <w:r>
        <w:rPr>
          <w:spacing w:val="-13"/>
          <w:sz w:val="24"/>
        </w:rPr>
        <w:t xml:space="preserve">履约保证金为合同总价款（按 </w:t>
      </w:r>
      <w:r>
        <w:rPr>
          <w:rFonts w:hint="eastAsia"/>
          <w:spacing w:val="-13"/>
          <w:sz w:val="24"/>
          <w:lang w:val="en-US"/>
        </w:rPr>
        <w:t>3</w:t>
      </w:r>
      <w:r>
        <w:rPr>
          <w:spacing w:val="-13"/>
          <w:sz w:val="24"/>
        </w:rPr>
        <w:t xml:space="preserve"> 年计算）的 10%，中标公示结束后 5 个工作日内签订合同前缴纳至招标人指定账户。</w:t>
      </w:r>
    </w:p>
    <w:p>
      <w:pPr>
        <w:pStyle w:val="21"/>
        <w:tabs>
          <w:tab w:val="left" w:pos="1952"/>
        </w:tabs>
        <w:spacing w:before="5" w:line="480" w:lineRule="exact"/>
        <w:ind w:left="0" w:firstLine="214" w:firstLineChars="100"/>
        <w:rPr>
          <w:spacing w:val="-13"/>
          <w:sz w:val="24"/>
        </w:rPr>
      </w:pPr>
      <w:r>
        <w:rPr>
          <w:rFonts w:hint="eastAsia"/>
          <w:spacing w:val="-13"/>
          <w:sz w:val="24"/>
          <w:lang w:val="en-US"/>
        </w:rPr>
        <w:t xml:space="preserve">27.2 </w:t>
      </w:r>
      <w:r>
        <w:rPr>
          <w:spacing w:val="-13"/>
          <w:sz w:val="24"/>
        </w:rPr>
        <w:t>若中标人不能按本招标文件要求足额提交履约担保的，招标人将有充分理由取消其中标资格，并没收其投标保证金。给招标人造成损失超过投标保证金数额的，还应当对超过部分予以赔偿。</w:t>
      </w:r>
    </w:p>
    <w:p>
      <w:pPr>
        <w:pStyle w:val="21"/>
        <w:tabs>
          <w:tab w:val="left" w:pos="1952"/>
        </w:tabs>
        <w:spacing w:before="5" w:line="480" w:lineRule="exact"/>
        <w:ind w:left="0" w:firstLine="214" w:firstLineChars="100"/>
        <w:rPr>
          <w:spacing w:val="-13"/>
          <w:sz w:val="24"/>
        </w:rPr>
      </w:pPr>
      <w:r>
        <w:rPr>
          <w:rFonts w:hint="eastAsia"/>
          <w:spacing w:val="-13"/>
          <w:sz w:val="24"/>
          <w:lang w:val="en-US"/>
        </w:rPr>
        <w:t xml:space="preserve">27.3 </w:t>
      </w:r>
      <w:r>
        <w:rPr>
          <w:spacing w:val="-13"/>
          <w:sz w:val="24"/>
        </w:rPr>
        <w:t>履约保证金退还时间：中标人提交的履约保证金，在服务期后如无违约行为，一次性无息返还。</w:t>
      </w:r>
    </w:p>
    <w:p>
      <w:pPr>
        <w:pStyle w:val="21"/>
        <w:tabs>
          <w:tab w:val="left" w:pos="1832"/>
          <w:tab w:val="left" w:pos="4231"/>
        </w:tabs>
        <w:spacing w:line="480" w:lineRule="exact"/>
        <w:ind w:left="0" w:firstLine="0"/>
        <w:outlineLvl w:val="2"/>
        <w:rPr>
          <w:b/>
          <w:sz w:val="24"/>
          <w:lang w:val="en-US"/>
        </w:rPr>
      </w:pPr>
      <w:r>
        <w:rPr>
          <w:rFonts w:hint="eastAsia"/>
          <w:b/>
          <w:sz w:val="24"/>
          <w:lang w:val="en-US"/>
        </w:rPr>
        <w:t>28.服务费</w:t>
      </w:r>
    </w:p>
    <w:p>
      <w:pPr>
        <w:pStyle w:val="8"/>
        <w:spacing w:line="392" w:lineRule="auto"/>
        <w:ind w:firstLine="462" w:firstLineChars="200"/>
        <w:jc w:val="both"/>
        <w:rPr>
          <w:b/>
          <w:bCs/>
          <w:spacing w:val="-5"/>
          <w:szCs w:val="22"/>
          <w:lang w:val="en-US"/>
        </w:rPr>
      </w:pPr>
      <w:bookmarkStart w:id="39" w:name="_Toc2146_WPSOffice_Level2"/>
      <w:r>
        <w:rPr>
          <w:rFonts w:hint="eastAsia"/>
          <w:b/>
          <w:bCs/>
          <w:spacing w:val="-5"/>
          <w:szCs w:val="22"/>
          <w:lang w:val="en-US"/>
        </w:rPr>
        <w:t>代理费按照国家发展和改革委员会发改价格【2015】299 号文、国家发展计划委员会计价格[2002]1980号文服务类执行，中标人领取中标通知书前全额缴纳于中正信造价咨询有限公司。潜在投标人在报价时应予以考虑。</w:t>
      </w:r>
    </w:p>
    <w:p>
      <w:pPr>
        <w:pStyle w:val="3"/>
        <w:spacing w:before="42" w:line="480" w:lineRule="exact"/>
        <w:ind w:left="0"/>
        <w:rPr>
          <w:lang w:val="en-US"/>
        </w:rPr>
      </w:pPr>
      <w:r>
        <w:rPr>
          <w:rFonts w:hint="eastAsia"/>
          <w:lang w:val="en-US"/>
        </w:rPr>
        <w:t>八、解释权</w:t>
      </w:r>
      <w:bookmarkEnd w:id="39"/>
    </w:p>
    <w:p>
      <w:pPr>
        <w:pStyle w:val="8"/>
        <w:spacing w:line="392" w:lineRule="auto"/>
        <w:ind w:firstLine="460" w:firstLineChars="200"/>
        <w:jc w:val="both"/>
        <w:rPr>
          <w:spacing w:val="-5"/>
          <w:szCs w:val="22"/>
        </w:rPr>
      </w:pPr>
      <w:r>
        <w:rPr>
          <w:spacing w:val="-5"/>
          <w:szCs w:val="22"/>
        </w:rPr>
        <w:t>本招标文件的最终解释权归招标代理机构，当对一个问题有多种解释时以招标代理机构的书面解释为准。招标文件未做须知明示，招标代理机构将依据相关法律、法规做出解释。</w:t>
      </w:r>
    </w:p>
    <w:p>
      <w:pPr>
        <w:pStyle w:val="2"/>
        <w:tabs>
          <w:tab w:val="left" w:pos="1555"/>
        </w:tabs>
        <w:jc w:val="both"/>
      </w:pPr>
      <w:bookmarkStart w:id="40" w:name="_Toc27937_WPSOffice_Level1"/>
      <w:r>
        <w:br w:type="page"/>
      </w:r>
    </w:p>
    <w:p>
      <w:pPr>
        <w:pStyle w:val="2"/>
        <w:tabs>
          <w:tab w:val="left" w:pos="1555"/>
        </w:tabs>
        <w:ind w:left="442"/>
      </w:pPr>
      <w:r>
        <w:t>第三章</w:t>
      </w:r>
      <w:r>
        <w:tab/>
      </w:r>
      <w:r>
        <w:t>项目说明</w:t>
      </w:r>
      <w:bookmarkEnd w:id="40"/>
    </w:p>
    <w:p>
      <w:pPr>
        <w:pStyle w:val="3"/>
        <w:spacing w:before="0" w:line="480" w:lineRule="exact"/>
        <w:ind w:left="0"/>
      </w:pPr>
      <w:bookmarkStart w:id="41" w:name="_Toc2275_WPSOffice_Level2"/>
      <w:r>
        <w:t>一、项目情况</w:t>
      </w:r>
      <w:bookmarkEnd w:id="41"/>
    </w:p>
    <w:p>
      <w:pPr>
        <w:spacing w:line="480" w:lineRule="exact"/>
        <w:ind w:firstLine="460" w:firstLineChars="200"/>
        <w:rPr>
          <w:spacing w:val="-5"/>
          <w:sz w:val="24"/>
        </w:rPr>
      </w:pPr>
      <w:r>
        <w:rPr>
          <w:rFonts w:hint="eastAsia"/>
          <w:spacing w:val="-5"/>
          <w:sz w:val="24"/>
        </w:rPr>
        <w:t>本包为检验科外送检查项目，主要内容为人体基因相关检测。</w:t>
      </w:r>
    </w:p>
    <w:p>
      <w:pPr>
        <w:numPr>
          <w:ilvl w:val="0"/>
          <w:numId w:val="1"/>
        </w:numPr>
        <w:spacing w:line="480" w:lineRule="exact"/>
        <w:outlineLvl w:val="1"/>
        <w:rPr>
          <w:b/>
          <w:bCs/>
          <w:sz w:val="28"/>
          <w:szCs w:val="28"/>
        </w:rPr>
      </w:pPr>
      <w:bookmarkStart w:id="42" w:name="_Toc5843_WPSOffice_Level2"/>
      <w:r>
        <w:rPr>
          <w:rFonts w:hint="eastAsia"/>
          <w:b/>
          <w:bCs/>
          <w:sz w:val="28"/>
          <w:szCs w:val="28"/>
        </w:rPr>
        <w:t>技术要求</w:t>
      </w:r>
      <w:bookmarkEnd w:id="42"/>
    </w:p>
    <w:p>
      <w:pPr>
        <w:spacing w:line="360" w:lineRule="auto"/>
        <w:ind w:firstLine="506" w:firstLineChars="220"/>
        <w:rPr>
          <w:spacing w:val="-5"/>
          <w:sz w:val="24"/>
        </w:rPr>
      </w:pPr>
      <w:bookmarkStart w:id="43" w:name="_Toc1694_WPSOffice_Level2"/>
      <w:r>
        <w:rPr>
          <w:rFonts w:hint="eastAsia"/>
          <w:spacing w:val="-5"/>
          <w:sz w:val="24"/>
        </w:rPr>
        <w:t>1、提供中华人民共和国医疗机构执业许可证，提供第三方医学实验室服务综合能力的相关资料。</w:t>
      </w:r>
    </w:p>
    <w:p>
      <w:pPr>
        <w:spacing w:line="360" w:lineRule="auto"/>
        <w:ind w:firstLine="506" w:firstLineChars="220"/>
        <w:rPr>
          <w:spacing w:val="-5"/>
          <w:sz w:val="24"/>
        </w:rPr>
      </w:pPr>
      <w:r>
        <w:rPr>
          <w:rFonts w:hint="eastAsia"/>
          <w:spacing w:val="-5"/>
          <w:sz w:val="24"/>
        </w:rPr>
        <w:t>2、提供</w:t>
      </w:r>
      <w:r>
        <w:rPr>
          <w:spacing w:val="-5"/>
          <w:sz w:val="24"/>
        </w:rPr>
        <w:t>CAP</w:t>
      </w:r>
      <w:r>
        <w:rPr>
          <w:rFonts w:hint="eastAsia"/>
          <w:spacing w:val="-5"/>
          <w:sz w:val="24"/>
        </w:rPr>
        <w:t>或</w:t>
      </w:r>
      <w:r>
        <w:rPr>
          <w:spacing w:val="-5"/>
          <w:sz w:val="24"/>
        </w:rPr>
        <w:t>ISO15189</w:t>
      </w:r>
      <w:r>
        <w:rPr>
          <w:rFonts w:hint="eastAsia"/>
          <w:spacing w:val="-5"/>
          <w:sz w:val="24"/>
        </w:rPr>
        <w:t>认可的第三方医学实验室证件；基因扩增项目有临床基因扩增检验实验室技术审核合格证。</w:t>
      </w:r>
    </w:p>
    <w:p>
      <w:pPr>
        <w:spacing w:line="360" w:lineRule="auto"/>
        <w:ind w:firstLine="506" w:firstLineChars="220"/>
        <w:rPr>
          <w:spacing w:val="-5"/>
          <w:sz w:val="24"/>
        </w:rPr>
      </w:pPr>
      <w:r>
        <w:rPr>
          <w:rFonts w:hint="eastAsia"/>
          <w:spacing w:val="-5"/>
          <w:sz w:val="24"/>
        </w:rPr>
        <w:t>3、有完善的质量保证体系文件，标本收集、运输、验收相关的支持文件。</w:t>
      </w:r>
    </w:p>
    <w:p>
      <w:pPr>
        <w:spacing w:line="360" w:lineRule="auto"/>
        <w:ind w:firstLine="506" w:firstLineChars="220"/>
        <w:rPr>
          <w:spacing w:val="-5"/>
          <w:sz w:val="24"/>
        </w:rPr>
      </w:pPr>
      <w:r>
        <w:rPr>
          <w:rFonts w:hint="eastAsia"/>
          <w:spacing w:val="-5"/>
          <w:sz w:val="24"/>
        </w:rPr>
        <w:t>4、提供近三年的实验室室内质控相关的资料、参加国家或省的室间质评相关的材料，未开展室间质评的项目有实验室比对资料。</w:t>
      </w:r>
    </w:p>
    <w:p>
      <w:pPr>
        <w:spacing w:line="360" w:lineRule="auto"/>
        <w:ind w:firstLine="506" w:firstLineChars="220"/>
        <w:rPr>
          <w:spacing w:val="-5"/>
          <w:sz w:val="24"/>
        </w:rPr>
      </w:pPr>
      <w:r>
        <w:rPr>
          <w:rFonts w:hint="eastAsia"/>
          <w:spacing w:val="-5"/>
          <w:sz w:val="24"/>
        </w:rPr>
        <w:t>5、</w:t>
      </w:r>
      <w:r>
        <w:rPr>
          <w:rFonts w:hint="eastAsia"/>
          <w:spacing w:val="-5"/>
          <w:sz w:val="24"/>
          <w:lang w:val="en-US"/>
        </w:rPr>
        <w:t>外包项目清单中的所有项目</w:t>
      </w:r>
      <w:r>
        <w:rPr>
          <w:rFonts w:hint="eastAsia"/>
          <w:spacing w:val="-5"/>
          <w:sz w:val="24"/>
        </w:rPr>
        <w:t>必须能独自完成不得转包。</w:t>
      </w:r>
    </w:p>
    <w:p>
      <w:pPr>
        <w:spacing w:line="360" w:lineRule="auto"/>
        <w:ind w:firstLine="506" w:firstLineChars="220"/>
        <w:rPr>
          <w:spacing w:val="-5"/>
          <w:sz w:val="24"/>
        </w:rPr>
      </w:pPr>
      <w:r>
        <w:rPr>
          <w:rFonts w:hint="eastAsia"/>
          <w:spacing w:val="-5"/>
          <w:sz w:val="24"/>
        </w:rPr>
        <w:t>6、提供常规项目及特殊项目的报告时限（项目见外包项目清单）。</w:t>
      </w:r>
    </w:p>
    <w:p>
      <w:pPr>
        <w:spacing w:line="360" w:lineRule="auto"/>
        <w:ind w:firstLine="506" w:firstLineChars="220"/>
        <w:rPr>
          <w:spacing w:val="-5"/>
          <w:sz w:val="24"/>
        </w:rPr>
      </w:pPr>
      <w:r>
        <w:rPr>
          <w:rFonts w:hint="eastAsia"/>
          <w:spacing w:val="-5"/>
          <w:sz w:val="24"/>
        </w:rPr>
        <w:t>7、有完善的实验室与外包用户的检验结果报告信息系统。</w:t>
      </w:r>
    </w:p>
    <w:p>
      <w:pPr>
        <w:spacing w:line="360" w:lineRule="auto"/>
        <w:ind w:firstLine="506" w:firstLineChars="220"/>
        <w:rPr>
          <w:spacing w:val="-5"/>
          <w:sz w:val="24"/>
        </w:rPr>
      </w:pPr>
      <w:r>
        <w:rPr>
          <w:rFonts w:hint="eastAsia"/>
          <w:spacing w:val="-5"/>
          <w:sz w:val="24"/>
        </w:rPr>
        <w:t>8、近5年承担的二级及以上医院的合作协议。</w:t>
      </w:r>
    </w:p>
    <w:p>
      <w:pPr>
        <w:spacing w:line="360" w:lineRule="auto"/>
        <w:ind w:firstLine="506" w:firstLineChars="220"/>
        <w:rPr>
          <w:rFonts w:cs="Times New Roman"/>
          <w:color w:val="FF0000"/>
          <w:spacing w:val="-5"/>
          <w:sz w:val="24"/>
          <w:szCs w:val="24"/>
        </w:rPr>
      </w:pPr>
      <w:r>
        <w:rPr>
          <w:rFonts w:hint="eastAsia"/>
          <w:spacing w:val="-5"/>
          <w:sz w:val="24"/>
        </w:rPr>
        <w:t>9、第三方医学实验室检验项目结算扣率。</w:t>
      </w:r>
      <w:r>
        <w:rPr>
          <w:rFonts w:hint="eastAsia"/>
          <w:color w:val="FF0000"/>
          <w:spacing w:val="-5"/>
          <w:sz w:val="24"/>
          <w:szCs w:val="24"/>
        </w:rPr>
        <w:t>扣率为金乡县人民医院外包项目总收入的支付比例。</w:t>
      </w:r>
    </w:p>
    <w:p>
      <w:pPr>
        <w:spacing w:line="360" w:lineRule="auto"/>
        <w:ind w:firstLine="506" w:firstLineChars="220"/>
        <w:rPr>
          <w:spacing w:val="-5"/>
          <w:sz w:val="24"/>
        </w:rPr>
      </w:pPr>
      <w:r>
        <w:rPr>
          <w:rFonts w:hint="eastAsia"/>
          <w:spacing w:val="-5"/>
          <w:sz w:val="24"/>
        </w:rPr>
        <w:t>10、第三方医学实验室严格履行合同。承担有外包检验项目质量问题产生的医疗纠纷。</w:t>
      </w:r>
    </w:p>
    <w:p>
      <w:pPr>
        <w:pStyle w:val="3"/>
        <w:spacing w:before="0" w:line="480" w:lineRule="exact"/>
        <w:ind w:left="0"/>
      </w:pPr>
      <w:r>
        <w:rPr>
          <w:rFonts w:hint="eastAsia"/>
        </w:rPr>
        <w:t>三、</w:t>
      </w:r>
      <w:r>
        <w:t>管理服务费用及财务管理要求</w:t>
      </w:r>
      <w:bookmarkEnd w:id="43"/>
    </w:p>
    <w:p>
      <w:pPr>
        <w:spacing w:line="480" w:lineRule="exact"/>
        <w:ind w:firstLine="460" w:firstLineChars="200"/>
        <w:rPr>
          <w:spacing w:val="-5"/>
          <w:sz w:val="24"/>
        </w:rPr>
      </w:pPr>
      <w:r>
        <w:rPr>
          <w:rFonts w:hint="eastAsia"/>
          <w:spacing w:val="-5"/>
          <w:sz w:val="24"/>
        </w:rPr>
        <w:t>管理服务费用以签订的合同价为准，支付方式为：按服务次数计算，当月支付上月费用</w:t>
      </w:r>
    </w:p>
    <w:p>
      <w:pPr>
        <w:pStyle w:val="3"/>
        <w:spacing w:before="0" w:line="480" w:lineRule="exact"/>
        <w:ind w:left="0"/>
      </w:pPr>
      <w:bookmarkStart w:id="44" w:name="_Toc21143_WPSOffice_Level2"/>
      <w:r>
        <w:rPr>
          <w:rFonts w:hint="eastAsia"/>
        </w:rPr>
        <w:t>四、其他要求</w:t>
      </w:r>
      <w:bookmarkEnd w:id="44"/>
    </w:p>
    <w:p>
      <w:pPr>
        <w:pStyle w:val="21"/>
        <w:spacing w:line="480" w:lineRule="exact"/>
        <w:rPr>
          <w:spacing w:val="-5"/>
          <w:sz w:val="24"/>
        </w:rPr>
      </w:pPr>
      <w:r>
        <w:rPr>
          <w:rFonts w:hint="eastAsia"/>
          <w:spacing w:val="-5"/>
          <w:sz w:val="24"/>
        </w:rPr>
        <w:t>按合同中约定</w:t>
      </w:r>
    </w:p>
    <w:p>
      <w:pPr>
        <w:pStyle w:val="3"/>
        <w:spacing w:before="0" w:line="480" w:lineRule="exact"/>
        <w:ind w:left="0"/>
      </w:pPr>
      <w:bookmarkStart w:id="45" w:name="_Toc9228_WPSOffice_Level2"/>
      <w:r>
        <w:rPr>
          <w:rFonts w:hint="eastAsia"/>
        </w:rPr>
        <w:t>五、服务期限</w:t>
      </w:r>
      <w:bookmarkEnd w:id="45"/>
    </w:p>
    <w:p>
      <w:pPr>
        <w:spacing w:line="480" w:lineRule="exact"/>
        <w:ind w:firstLine="460" w:firstLineChars="200"/>
        <w:rPr>
          <w:spacing w:val="-5"/>
          <w:sz w:val="24"/>
          <w:lang w:val="en-US"/>
        </w:rPr>
      </w:pPr>
      <w:r>
        <w:rPr>
          <w:rFonts w:hint="eastAsia"/>
          <w:spacing w:val="-5"/>
          <w:sz w:val="24"/>
          <w:lang w:val="en-US"/>
        </w:rPr>
        <w:t>三年</w:t>
      </w:r>
    </w:p>
    <w:p>
      <w:pPr>
        <w:pStyle w:val="3"/>
        <w:spacing w:before="0" w:line="480" w:lineRule="exact"/>
        <w:ind w:left="0"/>
        <w:rPr>
          <w:lang w:val="en-US"/>
        </w:rPr>
      </w:pPr>
      <w:bookmarkStart w:id="46" w:name="_Toc14657_WPSOffice_Level2"/>
      <w:r>
        <w:rPr>
          <w:rFonts w:hint="eastAsia"/>
          <w:lang w:val="en-US"/>
        </w:rPr>
        <w:t>六、检查与考核</w:t>
      </w:r>
      <w:bookmarkEnd w:id="46"/>
    </w:p>
    <w:p>
      <w:pPr>
        <w:spacing w:line="480" w:lineRule="exact"/>
        <w:ind w:firstLine="460" w:firstLineChars="200"/>
        <w:rPr>
          <w:spacing w:val="-5"/>
          <w:sz w:val="24"/>
        </w:rPr>
      </w:pPr>
      <w:r>
        <w:rPr>
          <w:rFonts w:hint="eastAsia"/>
          <w:spacing w:val="-5"/>
          <w:sz w:val="24"/>
        </w:rPr>
        <w:t>1、承包人应制订具体的质量保证措施及相关服务承诺。承包人所有的工作  除应按承包人的内部流程实施外，还应接受招标人或第三方的随时检查。如因质量未达到目标，招标人有权要求其整改，同时投标人应承担责任和经济赔偿（扣款或终止合同）。</w:t>
      </w:r>
    </w:p>
    <w:p>
      <w:pPr>
        <w:spacing w:line="480" w:lineRule="exact"/>
        <w:ind w:firstLine="460" w:firstLineChars="200"/>
        <w:rPr>
          <w:spacing w:val="-5"/>
          <w:sz w:val="24"/>
        </w:rPr>
      </w:pPr>
      <w:bookmarkStart w:id="47" w:name="2、招标人定期和不定期地对承包人管理服务进行检查和抽查，检查记录和整改时限反馈承"/>
      <w:bookmarkEnd w:id="47"/>
      <w:r>
        <w:rPr>
          <w:rFonts w:hint="eastAsia"/>
          <w:spacing w:val="-5"/>
          <w:sz w:val="24"/>
        </w:rPr>
        <w:t>2、招标人定期和不定期地对承包人管理服务进行检查和抽查，检查记录和整改时限反馈承包人。并每月对相应内容的检查结果进行考核。</w:t>
      </w:r>
    </w:p>
    <w:p>
      <w:pPr>
        <w:pStyle w:val="2"/>
      </w:pPr>
      <w:bookmarkStart w:id="48" w:name="_Toc5095_WPSOffice_Level1"/>
      <w:r>
        <w:rPr>
          <w:rFonts w:hint="eastAsia"/>
          <w:lang w:val="en-US"/>
        </w:rPr>
        <w:t xml:space="preserve">第四章 </w:t>
      </w:r>
      <w:bookmarkEnd w:id="48"/>
      <w:r>
        <w:rPr>
          <w:rFonts w:hint="eastAsia"/>
        </w:rPr>
        <w:t>合同主要条款格式</w:t>
      </w:r>
    </w:p>
    <w:p>
      <w:pPr>
        <w:tabs>
          <w:tab w:val="left" w:pos="1134"/>
          <w:tab w:val="left" w:pos="5481"/>
          <w:tab w:val="left" w:pos="5859"/>
        </w:tabs>
        <w:spacing w:line="500" w:lineRule="exact"/>
        <w:jc w:val="center"/>
        <w:outlineLvl w:val="0"/>
        <w:rPr>
          <w:rFonts w:eastAsia="黑体"/>
          <w:b/>
          <w:sz w:val="36"/>
        </w:rPr>
      </w:pPr>
    </w:p>
    <w:p>
      <w:pPr>
        <w:tabs>
          <w:tab w:val="left" w:pos="1134"/>
          <w:tab w:val="left" w:pos="5481"/>
          <w:tab w:val="left" w:pos="5859"/>
        </w:tabs>
        <w:spacing w:line="500" w:lineRule="exact"/>
        <w:jc w:val="center"/>
        <w:outlineLvl w:val="0"/>
        <w:rPr>
          <w:rFonts w:eastAsia="黑体"/>
          <w:b/>
          <w:sz w:val="36"/>
        </w:rPr>
      </w:pPr>
    </w:p>
    <w:p>
      <w:pPr>
        <w:tabs>
          <w:tab w:val="left" w:pos="1134"/>
          <w:tab w:val="left" w:pos="5481"/>
          <w:tab w:val="left" w:pos="5859"/>
        </w:tabs>
        <w:spacing w:line="500" w:lineRule="exact"/>
        <w:jc w:val="both"/>
        <w:outlineLvl w:val="0"/>
        <w:rPr>
          <w:rFonts w:eastAsia="黑体"/>
          <w:b/>
          <w:sz w:val="36"/>
        </w:rPr>
      </w:pPr>
    </w:p>
    <w:p>
      <w:pPr>
        <w:pStyle w:val="9"/>
        <w:spacing w:line="240" w:lineRule="auto"/>
        <w:ind w:left="0" w:leftChars="0" w:firstLine="0" w:firstLineChars="0"/>
        <w:jc w:val="center"/>
      </w:pPr>
    </w:p>
    <w:p>
      <w:pPr>
        <w:pStyle w:val="9"/>
        <w:spacing w:line="240" w:lineRule="auto"/>
        <w:ind w:left="0" w:leftChars="0" w:firstLine="0" w:firstLineChars="0"/>
        <w:jc w:val="center"/>
      </w:pPr>
    </w:p>
    <w:p>
      <w:pPr>
        <w:jc w:val="center"/>
        <w:rPr>
          <w:rFonts w:eastAsia="黑体"/>
          <w:b/>
          <w:sz w:val="44"/>
        </w:rPr>
      </w:pPr>
      <w:r>
        <w:rPr>
          <w:rFonts w:hint="eastAsia" w:eastAsia="黑体"/>
          <w:b/>
          <w:sz w:val="44"/>
        </w:rPr>
        <w:t xml:space="preserve">金 乡 县 政 府 采 购 合 同 书  </w:t>
      </w:r>
    </w:p>
    <w:p/>
    <w:p/>
    <w:p/>
    <w:p/>
    <w:p/>
    <w:p/>
    <w:p/>
    <w:p/>
    <w:p/>
    <w:p/>
    <w:p/>
    <w:p/>
    <w:p/>
    <w:p/>
    <w:p/>
    <w:p/>
    <w:p>
      <w:pPr>
        <w:spacing w:line="360" w:lineRule="auto"/>
        <w:ind w:firstLine="1687" w:firstLineChars="600"/>
        <w:rPr>
          <w:b/>
          <w:sz w:val="28"/>
        </w:rPr>
      </w:pPr>
      <w:r>
        <w:rPr>
          <w:rFonts w:hint="eastAsia"/>
          <w:b/>
          <w:sz w:val="28"/>
        </w:rPr>
        <w:t>合同编号：</w:t>
      </w:r>
    </w:p>
    <w:p>
      <w:pPr>
        <w:spacing w:line="360" w:lineRule="auto"/>
        <w:ind w:firstLine="1687" w:firstLineChars="600"/>
        <w:rPr>
          <w:b/>
          <w:sz w:val="28"/>
        </w:rPr>
      </w:pPr>
    </w:p>
    <w:p>
      <w:pPr>
        <w:spacing w:line="360" w:lineRule="auto"/>
        <w:ind w:firstLine="1687" w:firstLineChars="600"/>
        <w:rPr>
          <w:b/>
          <w:sz w:val="28"/>
        </w:rPr>
      </w:pPr>
      <w:r>
        <w:rPr>
          <w:rFonts w:hint="eastAsia"/>
          <w:b/>
          <w:sz w:val="28"/>
        </w:rPr>
        <w:t>项目名称：</w:t>
      </w:r>
    </w:p>
    <w:p>
      <w:pPr>
        <w:spacing w:line="360" w:lineRule="auto"/>
        <w:rPr>
          <w:b/>
          <w:sz w:val="28"/>
        </w:rPr>
      </w:pPr>
    </w:p>
    <w:p>
      <w:pPr>
        <w:spacing w:line="360" w:lineRule="auto"/>
        <w:ind w:firstLine="1687" w:firstLineChars="600"/>
        <w:rPr>
          <w:b/>
          <w:sz w:val="28"/>
          <w:u w:val="single"/>
        </w:rPr>
      </w:pPr>
      <w:r>
        <w:rPr>
          <w:rFonts w:hint="eastAsia"/>
          <w:b/>
          <w:sz w:val="28"/>
        </w:rPr>
        <w:t>采购人：</w:t>
      </w:r>
    </w:p>
    <w:p>
      <w:pPr>
        <w:spacing w:line="360" w:lineRule="auto"/>
        <w:ind w:firstLine="1687" w:firstLineChars="600"/>
        <w:rPr>
          <w:b/>
          <w:sz w:val="28"/>
          <w:u w:val="single"/>
        </w:rPr>
      </w:pPr>
      <w:r>
        <w:rPr>
          <w:rFonts w:hint="eastAsia"/>
          <w:b/>
          <w:sz w:val="28"/>
        </w:rPr>
        <w:t>供应商：</w:t>
      </w:r>
    </w:p>
    <w:p>
      <w:pPr>
        <w:rPr>
          <w:b/>
          <w:sz w:val="32"/>
        </w:rPr>
      </w:pPr>
    </w:p>
    <w:p>
      <w:pPr>
        <w:ind w:firstLine="3514" w:firstLineChars="1250"/>
        <w:rPr>
          <w:b/>
          <w:sz w:val="44"/>
        </w:rPr>
      </w:pPr>
      <w:r>
        <w:rPr>
          <w:rFonts w:hint="eastAsia"/>
          <w:b/>
          <w:sz w:val="28"/>
        </w:rPr>
        <w:t>年    月    日</w:t>
      </w:r>
    </w:p>
    <w:p>
      <w:pPr>
        <w:ind w:firstLine="3534" w:firstLineChars="800"/>
        <w:rPr>
          <w:b/>
          <w:sz w:val="44"/>
        </w:rPr>
      </w:pPr>
    </w:p>
    <w:p>
      <w:pPr>
        <w:ind w:firstLine="3534" w:firstLineChars="800"/>
        <w:rPr>
          <w:b/>
          <w:sz w:val="44"/>
        </w:rPr>
      </w:pPr>
      <w:r>
        <w:rPr>
          <w:rFonts w:hint="eastAsia"/>
          <w:b/>
          <w:sz w:val="44"/>
        </w:rPr>
        <w:t>合  同  书</w:t>
      </w:r>
    </w:p>
    <w:p>
      <w:pPr>
        <w:ind w:firstLine="3534" w:firstLineChars="800"/>
        <w:rPr>
          <w:b/>
          <w:sz w:val="44"/>
        </w:rPr>
      </w:pPr>
    </w:p>
    <w:p>
      <w:pPr>
        <w:spacing w:line="440" w:lineRule="exact"/>
        <w:rPr>
          <w:sz w:val="24"/>
        </w:rPr>
      </w:pPr>
      <w:r>
        <w:rPr>
          <w:rFonts w:hint="eastAsia"/>
          <w:sz w:val="24"/>
        </w:rPr>
        <w:t>合同编号：</w:t>
      </w:r>
    </w:p>
    <w:p>
      <w:pPr>
        <w:spacing w:line="440" w:lineRule="exact"/>
        <w:rPr>
          <w:sz w:val="24"/>
        </w:rPr>
      </w:pPr>
      <w:r>
        <w:rPr>
          <w:rFonts w:hint="eastAsia"/>
          <w:sz w:val="24"/>
        </w:rPr>
        <w:t>项目名称：</w:t>
      </w:r>
    </w:p>
    <w:p>
      <w:pPr>
        <w:spacing w:line="440" w:lineRule="exact"/>
        <w:rPr>
          <w:sz w:val="24"/>
        </w:rPr>
      </w:pPr>
      <w:r>
        <w:rPr>
          <w:rFonts w:hint="eastAsia"/>
          <w:sz w:val="24"/>
        </w:rPr>
        <w:t>合同当事人：</w:t>
      </w:r>
    </w:p>
    <w:p>
      <w:pPr>
        <w:spacing w:line="440" w:lineRule="exact"/>
        <w:rPr>
          <w:sz w:val="24"/>
        </w:rPr>
      </w:pPr>
      <w:r>
        <w:rPr>
          <w:rFonts w:hint="eastAsia"/>
          <w:sz w:val="24"/>
        </w:rPr>
        <w:t>甲方（采购人）：</w:t>
      </w:r>
    </w:p>
    <w:p>
      <w:pPr>
        <w:spacing w:line="440" w:lineRule="exact"/>
        <w:rPr>
          <w:sz w:val="24"/>
        </w:rPr>
      </w:pPr>
      <w:r>
        <w:rPr>
          <w:rFonts w:hint="eastAsia"/>
          <w:sz w:val="24"/>
        </w:rPr>
        <w:t>乙方（供应商）：</w:t>
      </w:r>
    </w:p>
    <w:p>
      <w:pPr>
        <w:spacing w:line="440" w:lineRule="exact"/>
        <w:ind w:firstLine="355" w:firstLineChars="148"/>
        <w:rPr>
          <w:sz w:val="24"/>
        </w:rPr>
      </w:pPr>
      <w:r>
        <w:rPr>
          <w:rFonts w:hint="eastAsia"/>
          <w:sz w:val="24"/>
        </w:rPr>
        <w:t>通过公开招标采购，经评标委员会评定和甲方最终审查，甲乙双方同意根据《中华人民共和国合同法》、《中华人民共和国政府采购法》及相关规定，按照以下条款和条件，签署本合同。</w:t>
      </w:r>
    </w:p>
    <w:p>
      <w:pPr>
        <w:tabs>
          <w:tab w:val="left" w:pos="852"/>
          <w:tab w:val="left" w:pos="1065"/>
        </w:tabs>
        <w:spacing w:line="440" w:lineRule="exact"/>
        <w:rPr>
          <w:sz w:val="24"/>
        </w:rPr>
      </w:pPr>
      <w:r>
        <w:rPr>
          <w:rFonts w:hint="eastAsia"/>
          <w:sz w:val="24"/>
        </w:rPr>
        <w:t>一、合同文件</w:t>
      </w:r>
    </w:p>
    <w:p>
      <w:pPr>
        <w:spacing w:line="440" w:lineRule="exact"/>
        <w:rPr>
          <w:sz w:val="24"/>
        </w:rPr>
      </w:pPr>
      <w:r>
        <w:rPr>
          <w:rFonts w:hint="eastAsia"/>
          <w:sz w:val="24"/>
        </w:rPr>
        <w:t>下列文件均为本合同的组成部分：</w:t>
      </w:r>
    </w:p>
    <w:p>
      <w:pPr>
        <w:tabs>
          <w:tab w:val="left" w:pos="1140"/>
        </w:tabs>
        <w:spacing w:line="440" w:lineRule="exact"/>
        <w:rPr>
          <w:sz w:val="24"/>
        </w:rPr>
      </w:pPr>
      <w:r>
        <w:rPr>
          <w:rFonts w:hint="eastAsia"/>
          <w:sz w:val="24"/>
        </w:rPr>
        <w:t>（1）中标通知书</w:t>
      </w:r>
    </w:p>
    <w:p>
      <w:pPr>
        <w:tabs>
          <w:tab w:val="left" w:pos="1140"/>
        </w:tabs>
        <w:spacing w:line="440" w:lineRule="exact"/>
        <w:rPr>
          <w:sz w:val="24"/>
        </w:rPr>
      </w:pPr>
      <w:r>
        <w:rPr>
          <w:rFonts w:hint="eastAsia"/>
          <w:sz w:val="24"/>
        </w:rPr>
        <w:t>（2）最终报价及书面承诺</w:t>
      </w:r>
    </w:p>
    <w:p>
      <w:pPr>
        <w:tabs>
          <w:tab w:val="left" w:pos="1140"/>
        </w:tabs>
        <w:spacing w:line="440" w:lineRule="exact"/>
        <w:rPr>
          <w:sz w:val="24"/>
        </w:rPr>
      </w:pPr>
      <w:r>
        <w:rPr>
          <w:rFonts w:hint="eastAsia"/>
          <w:sz w:val="24"/>
        </w:rPr>
        <w:t>（3）合同补充条款或说明</w:t>
      </w:r>
    </w:p>
    <w:p>
      <w:pPr>
        <w:tabs>
          <w:tab w:val="left" w:pos="1140"/>
        </w:tabs>
        <w:spacing w:line="440" w:lineRule="exact"/>
        <w:rPr>
          <w:sz w:val="24"/>
        </w:rPr>
      </w:pPr>
      <w:r>
        <w:rPr>
          <w:rFonts w:hint="eastAsia"/>
          <w:sz w:val="24"/>
        </w:rPr>
        <w:t>（4）投标文件</w:t>
      </w:r>
    </w:p>
    <w:p>
      <w:pPr>
        <w:tabs>
          <w:tab w:val="left" w:pos="1140"/>
        </w:tabs>
        <w:spacing w:line="440" w:lineRule="exact"/>
        <w:rPr>
          <w:sz w:val="24"/>
        </w:rPr>
      </w:pPr>
      <w:r>
        <w:rPr>
          <w:rFonts w:hint="eastAsia"/>
          <w:sz w:val="24"/>
        </w:rPr>
        <w:t>（5）采购文件</w:t>
      </w:r>
    </w:p>
    <w:p>
      <w:pPr>
        <w:tabs>
          <w:tab w:val="left" w:pos="1140"/>
        </w:tabs>
        <w:spacing w:line="440" w:lineRule="exact"/>
        <w:rPr>
          <w:sz w:val="24"/>
        </w:rPr>
      </w:pPr>
      <w:r>
        <w:rPr>
          <w:rFonts w:hint="eastAsia"/>
          <w:sz w:val="24"/>
        </w:rPr>
        <w:t>（6）附件</w:t>
      </w:r>
    </w:p>
    <w:p>
      <w:pPr>
        <w:tabs>
          <w:tab w:val="left" w:pos="1065"/>
        </w:tabs>
        <w:spacing w:line="440" w:lineRule="exact"/>
        <w:rPr>
          <w:sz w:val="24"/>
        </w:rPr>
      </w:pPr>
      <w:r>
        <w:rPr>
          <w:rFonts w:hint="eastAsia"/>
          <w:sz w:val="24"/>
        </w:rPr>
        <w:t>二、合同范围和条件</w:t>
      </w:r>
    </w:p>
    <w:p>
      <w:pPr>
        <w:spacing w:line="440" w:lineRule="exact"/>
        <w:rPr>
          <w:sz w:val="24"/>
        </w:rPr>
      </w:pPr>
      <w:r>
        <w:rPr>
          <w:rFonts w:hint="eastAsia"/>
          <w:sz w:val="24"/>
        </w:rPr>
        <w:t>本合同的范围和条件应与上述规定的合同文件内容一致。</w:t>
      </w:r>
    </w:p>
    <w:p>
      <w:pPr>
        <w:tabs>
          <w:tab w:val="left" w:pos="639"/>
          <w:tab w:val="left" w:pos="1065"/>
          <w:tab w:val="left" w:pos="1491"/>
        </w:tabs>
        <w:spacing w:line="440" w:lineRule="exact"/>
        <w:rPr>
          <w:sz w:val="24"/>
        </w:rPr>
      </w:pPr>
      <w:r>
        <w:rPr>
          <w:rFonts w:hint="eastAsia"/>
          <w:sz w:val="24"/>
        </w:rPr>
        <w:t>三、产品名称、数量及规格、材质要求（详见附件）：</w:t>
      </w:r>
    </w:p>
    <w:p>
      <w:pPr>
        <w:tabs>
          <w:tab w:val="left" w:pos="1065"/>
          <w:tab w:val="left" w:pos="1170"/>
        </w:tabs>
        <w:spacing w:line="440" w:lineRule="exact"/>
        <w:rPr>
          <w:sz w:val="24"/>
        </w:rPr>
      </w:pPr>
      <w:r>
        <w:rPr>
          <w:rFonts w:hint="eastAsia"/>
          <w:sz w:val="24"/>
        </w:rPr>
        <w:t>四、乙方提交的产品应符合报价文件中所记载的详细技术参数及材料说明，并应附有此类产品完整、详细的技术资料和说明文件。</w:t>
      </w:r>
    </w:p>
    <w:p>
      <w:pPr>
        <w:tabs>
          <w:tab w:val="left" w:pos="1065"/>
          <w:tab w:val="left" w:pos="1170"/>
        </w:tabs>
        <w:spacing w:line="440" w:lineRule="exact"/>
        <w:rPr>
          <w:sz w:val="24"/>
        </w:rPr>
      </w:pPr>
      <w:r>
        <w:rPr>
          <w:rFonts w:hint="eastAsia"/>
          <w:sz w:val="24"/>
        </w:rPr>
        <w:t>五、乙方应保证将产品按国家或专业标准包装并确保产品安全无损的运抵使用地。</w:t>
      </w:r>
    </w:p>
    <w:p>
      <w:pPr>
        <w:tabs>
          <w:tab w:val="left" w:pos="1065"/>
        </w:tabs>
        <w:spacing w:line="440" w:lineRule="exact"/>
        <w:rPr>
          <w:sz w:val="24"/>
        </w:rPr>
      </w:pPr>
      <w:r>
        <w:rPr>
          <w:rFonts w:hint="eastAsia"/>
          <w:sz w:val="24"/>
        </w:rPr>
        <w:t xml:space="preserve">六、合同总金额： </w:t>
      </w:r>
    </w:p>
    <w:p>
      <w:pPr>
        <w:spacing w:line="440" w:lineRule="exact"/>
        <w:rPr>
          <w:sz w:val="24"/>
          <w:u w:val="single"/>
        </w:rPr>
      </w:pPr>
      <w:r>
        <w:rPr>
          <w:rFonts w:hint="eastAsia"/>
          <w:sz w:val="24"/>
          <w:u w:val="single"/>
        </w:rPr>
        <w:t xml:space="preserve">                                                                       .   </w:t>
      </w:r>
    </w:p>
    <w:p>
      <w:pPr>
        <w:tabs>
          <w:tab w:val="left" w:pos="639"/>
          <w:tab w:val="left" w:pos="1065"/>
        </w:tabs>
        <w:spacing w:line="440" w:lineRule="exact"/>
        <w:rPr>
          <w:sz w:val="24"/>
        </w:rPr>
      </w:pPr>
      <w:r>
        <w:rPr>
          <w:rFonts w:hint="eastAsia"/>
          <w:sz w:val="24"/>
        </w:rPr>
        <w:t>七、付款方式</w:t>
      </w:r>
    </w:p>
    <w:p>
      <w:pPr>
        <w:tabs>
          <w:tab w:val="left" w:pos="639"/>
          <w:tab w:val="left" w:pos="1065"/>
        </w:tabs>
        <w:spacing w:line="440" w:lineRule="exact"/>
        <w:rPr>
          <w:sz w:val="24"/>
          <w:u w:val="single"/>
        </w:rPr>
      </w:pPr>
      <w:r>
        <w:rPr>
          <w:rFonts w:hint="eastAsia"/>
          <w:sz w:val="24"/>
          <w:u w:val="single"/>
        </w:rPr>
        <w:t xml:space="preserve">                                                                      .</w:t>
      </w:r>
    </w:p>
    <w:p>
      <w:pPr>
        <w:tabs>
          <w:tab w:val="left" w:pos="1065"/>
        </w:tabs>
        <w:spacing w:line="440" w:lineRule="exact"/>
        <w:rPr>
          <w:sz w:val="24"/>
        </w:rPr>
      </w:pPr>
      <w:r>
        <w:rPr>
          <w:rFonts w:hint="eastAsia"/>
          <w:sz w:val="24"/>
        </w:rPr>
        <w:t>八、交货/完工时间</w:t>
      </w:r>
    </w:p>
    <w:p>
      <w:pPr>
        <w:spacing w:line="440" w:lineRule="exact"/>
        <w:rPr>
          <w:sz w:val="30"/>
          <w:szCs w:val="30"/>
        </w:rPr>
      </w:pPr>
      <w:r>
        <w:rPr>
          <w:rFonts w:hint="eastAsia" w:hAnsi="Wingdings"/>
          <w:sz w:val="24"/>
          <w:szCs w:val="24"/>
        </w:rPr>
        <w:t>。</w:t>
      </w:r>
    </w:p>
    <w:p>
      <w:pPr>
        <w:tabs>
          <w:tab w:val="left" w:pos="1065"/>
        </w:tabs>
        <w:spacing w:line="440" w:lineRule="exact"/>
        <w:rPr>
          <w:sz w:val="24"/>
        </w:rPr>
      </w:pPr>
      <w:r>
        <w:rPr>
          <w:rFonts w:hint="eastAsia"/>
          <w:sz w:val="24"/>
        </w:rPr>
        <w:t>九、交货地点（甲方指定地点）：</w:t>
      </w:r>
    </w:p>
    <w:p>
      <w:pPr>
        <w:spacing w:line="440" w:lineRule="exact"/>
        <w:rPr>
          <w:sz w:val="24"/>
        </w:rPr>
      </w:pPr>
      <w:r>
        <w:rPr>
          <w:rFonts w:hint="eastAsia"/>
          <w:sz w:val="24"/>
        </w:rPr>
        <w:t>十、违约责任</w:t>
      </w:r>
    </w:p>
    <w:p>
      <w:pPr>
        <w:tabs>
          <w:tab w:val="left" w:pos="1170"/>
        </w:tabs>
        <w:spacing w:line="440" w:lineRule="exact"/>
        <w:rPr>
          <w:sz w:val="24"/>
        </w:rPr>
      </w:pPr>
      <w:r>
        <w:rPr>
          <w:rFonts w:hint="eastAsia"/>
          <w:sz w:val="24"/>
        </w:rPr>
        <w:t>1、合同当事人一方不履行合同义务或者履行合同义务不符合约定，给对方造成损失的，违约方应按照合同标的额的2％支付违约金给非违约方。</w:t>
      </w:r>
    </w:p>
    <w:p>
      <w:pPr>
        <w:tabs>
          <w:tab w:val="left" w:pos="1170"/>
        </w:tabs>
        <w:spacing w:line="440" w:lineRule="exact"/>
        <w:rPr>
          <w:sz w:val="24"/>
        </w:rPr>
      </w:pPr>
      <w:r>
        <w:rPr>
          <w:rFonts w:hint="eastAsia"/>
          <w:sz w:val="24"/>
        </w:rPr>
        <w:t>2、乙方在履行合同过程中，存在由迟延履行、不适当履行、履行方法不当、履行地点不当等情况给甲方造成损失的，甲方直接从履约保证金中扣除作为甲方的补偿，不足部分乙方必须一次性补齐。</w:t>
      </w:r>
    </w:p>
    <w:p>
      <w:pPr>
        <w:tabs>
          <w:tab w:val="left" w:pos="1170"/>
        </w:tabs>
        <w:spacing w:line="440" w:lineRule="exact"/>
        <w:rPr>
          <w:sz w:val="24"/>
        </w:rPr>
      </w:pPr>
      <w:r>
        <w:rPr>
          <w:rFonts w:hint="eastAsia"/>
          <w:sz w:val="24"/>
        </w:rPr>
        <w:t>3、当事人一方违约后，对方应当采取适当措施防止损失的扩大；没有采取适当措施致使损失扩大的，不得就扩大的损失要求赔偿；当事人因防止损失扩大支出的合理费用，由违约方承担。</w:t>
      </w:r>
    </w:p>
    <w:p>
      <w:pPr>
        <w:tabs>
          <w:tab w:val="left" w:pos="1170"/>
        </w:tabs>
        <w:spacing w:line="440" w:lineRule="exact"/>
        <w:rPr>
          <w:sz w:val="24"/>
        </w:rPr>
      </w:pPr>
      <w:r>
        <w:rPr>
          <w:rFonts w:hint="eastAsia"/>
          <w:sz w:val="24"/>
        </w:rPr>
        <w:t>4、乙方因第三人原因造成违约的，应当向甲方承担违约责任，并根据实际损失支付赔偿金。</w:t>
      </w:r>
    </w:p>
    <w:p>
      <w:pPr>
        <w:tabs>
          <w:tab w:val="left" w:pos="1170"/>
        </w:tabs>
        <w:spacing w:line="440" w:lineRule="exact"/>
        <w:rPr>
          <w:sz w:val="24"/>
        </w:rPr>
      </w:pPr>
      <w:r>
        <w:rPr>
          <w:rFonts w:hint="eastAsia"/>
          <w:sz w:val="24"/>
        </w:rPr>
        <w:t>5、乙方</w:t>
      </w:r>
      <w:r>
        <w:rPr>
          <w:rFonts w:hint="eastAsia"/>
          <w:sz w:val="24"/>
          <w:lang w:val="en-US"/>
        </w:rPr>
        <w:t>承担的外包项目</w:t>
      </w:r>
      <w:r>
        <w:rPr>
          <w:rFonts w:hint="eastAsia"/>
          <w:sz w:val="24"/>
        </w:rPr>
        <w:t>存有质量问题，乙方应承担赔偿责任。</w:t>
      </w:r>
    </w:p>
    <w:p>
      <w:pPr>
        <w:spacing w:line="440" w:lineRule="exact"/>
        <w:rPr>
          <w:sz w:val="24"/>
        </w:rPr>
      </w:pPr>
      <w:r>
        <w:rPr>
          <w:rFonts w:hint="eastAsia"/>
          <w:sz w:val="24"/>
        </w:rPr>
        <w:t>十一、验收</w:t>
      </w:r>
    </w:p>
    <w:p>
      <w:pPr>
        <w:tabs>
          <w:tab w:val="left" w:pos="1065"/>
        </w:tabs>
        <w:spacing w:line="440" w:lineRule="exact"/>
        <w:rPr>
          <w:sz w:val="24"/>
        </w:rPr>
      </w:pPr>
      <w:r>
        <w:rPr>
          <w:rFonts w:hint="eastAsia"/>
          <w:sz w:val="24"/>
        </w:rPr>
        <w:t>1、产品按期送到指定地点后，甲方将对产品的质量规格等进行检验，并出具检验证明，乙方应积极协助甲方进行产品检验。</w:t>
      </w:r>
    </w:p>
    <w:p>
      <w:pPr>
        <w:spacing w:line="440" w:lineRule="exact"/>
        <w:rPr>
          <w:sz w:val="24"/>
        </w:rPr>
      </w:pPr>
      <w:r>
        <w:rPr>
          <w:rFonts w:hint="eastAsia"/>
          <w:sz w:val="24"/>
        </w:rPr>
        <w:t>2、如发现产品与合同不符，经甲方金乡县政府采购中心调查后，确定乙方应承担的责任。</w:t>
      </w:r>
    </w:p>
    <w:p>
      <w:pPr>
        <w:spacing w:line="440" w:lineRule="exact"/>
        <w:rPr>
          <w:sz w:val="24"/>
        </w:rPr>
      </w:pPr>
      <w:r>
        <w:rPr>
          <w:rFonts w:hint="eastAsia"/>
          <w:sz w:val="24"/>
        </w:rPr>
        <w:t>十二、合同的解除</w:t>
      </w:r>
    </w:p>
    <w:p>
      <w:pPr>
        <w:spacing w:line="440" w:lineRule="exact"/>
        <w:ind w:firstLine="235" w:firstLineChars="98"/>
        <w:rPr>
          <w:sz w:val="24"/>
        </w:rPr>
      </w:pPr>
      <w:r>
        <w:rPr>
          <w:rFonts w:hint="eastAsia"/>
          <w:sz w:val="24"/>
        </w:rPr>
        <w:t>出现下列情况之一时，甲方有权解除合同，合同自通知到达乙方时解除，所造成的损失应由乙方承担。</w:t>
      </w:r>
    </w:p>
    <w:p>
      <w:pPr>
        <w:tabs>
          <w:tab w:val="left" w:pos="0"/>
        </w:tabs>
        <w:spacing w:line="440" w:lineRule="exact"/>
        <w:rPr>
          <w:sz w:val="24"/>
        </w:rPr>
      </w:pPr>
      <w:r>
        <w:rPr>
          <w:rFonts w:hint="eastAsia"/>
          <w:sz w:val="24"/>
        </w:rPr>
        <w:t>1、乙方未能在合同规定的期限内或甲方同意延长的期限内提供产品或服务。</w:t>
      </w:r>
    </w:p>
    <w:p>
      <w:pPr>
        <w:tabs>
          <w:tab w:val="left" w:pos="960"/>
        </w:tabs>
        <w:spacing w:line="440" w:lineRule="exact"/>
        <w:rPr>
          <w:sz w:val="24"/>
        </w:rPr>
      </w:pPr>
      <w:r>
        <w:rPr>
          <w:rFonts w:hint="eastAsia"/>
          <w:sz w:val="24"/>
        </w:rPr>
        <w:t>2、乙方未能履行合同规定的其他义务，甲方有权终止合同的全部或部分。</w:t>
      </w:r>
    </w:p>
    <w:p>
      <w:pPr>
        <w:spacing w:line="440" w:lineRule="exact"/>
        <w:rPr>
          <w:sz w:val="24"/>
        </w:rPr>
      </w:pPr>
      <w:r>
        <w:rPr>
          <w:rFonts w:hint="eastAsia"/>
          <w:sz w:val="24"/>
        </w:rPr>
        <w:t>3、未经甲方书面同意，乙方私自转让或分包其应履行的合同义务。</w:t>
      </w:r>
    </w:p>
    <w:p>
      <w:pPr>
        <w:spacing w:line="440" w:lineRule="exact"/>
        <w:rPr>
          <w:sz w:val="24"/>
        </w:rPr>
      </w:pPr>
      <w:r>
        <w:rPr>
          <w:rFonts w:hint="eastAsia"/>
          <w:sz w:val="24"/>
        </w:rPr>
        <w:t>十三、争议的解决</w:t>
      </w:r>
    </w:p>
    <w:p>
      <w:pPr>
        <w:pStyle w:val="8"/>
        <w:spacing w:line="440" w:lineRule="exact"/>
        <w:ind w:left="20" w:leftChars="9" w:firstLine="518" w:firstLineChars="216"/>
        <w:textAlignment w:val="baseline"/>
      </w:pPr>
      <w:r>
        <w:rPr>
          <w:rFonts w:hint="eastAsia"/>
        </w:rPr>
        <w:t>甲、乙双方应通过友好协商，解决在执行本合同中所发生的或与本合同有关的争议、如协商仍未解决，任何一方均可提请金乡仲裁委员会依照其规则进行仲裁。</w:t>
      </w:r>
    </w:p>
    <w:p>
      <w:pPr>
        <w:spacing w:line="440" w:lineRule="exact"/>
        <w:rPr>
          <w:sz w:val="24"/>
        </w:rPr>
      </w:pPr>
      <w:r>
        <w:rPr>
          <w:rFonts w:hint="eastAsia"/>
          <w:sz w:val="24"/>
        </w:rPr>
        <w:t>十四、合同的修改</w:t>
      </w:r>
    </w:p>
    <w:p>
      <w:pPr>
        <w:spacing w:line="440" w:lineRule="exact"/>
        <w:rPr>
          <w:sz w:val="24"/>
        </w:rPr>
      </w:pPr>
      <w:r>
        <w:rPr>
          <w:rFonts w:hint="eastAsia"/>
          <w:sz w:val="24"/>
        </w:rPr>
        <w:t>如对本合同进行改动，由双方签订书面的合同修改文书作为本合同的补充协议。</w:t>
      </w:r>
    </w:p>
    <w:p>
      <w:pPr>
        <w:spacing w:line="440" w:lineRule="exact"/>
        <w:rPr>
          <w:sz w:val="24"/>
        </w:rPr>
      </w:pPr>
      <w:r>
        <w:rPr>
          <w:rFonts w:hint="eastAsia"/>
          <w:sz w:val="24"/>
        </w:rPr>
        <w:t>十五、本合同签订前由乙方提交履约保证金后，经双方授权代表签署, 甲、乙双方加盖印章后生效。本合同一式四份，甲、乙双方各执两份。</w:t>
      </w:r>
    </w:p>
    <w:p>
      <w:pPr>
        <w:spacing w:line="440" w:lineRule="exact"/>
        <w:ind w:firstLine="480" w:firstLineChars="200"/>
        <w:rPr>
          <w:sz w:val="24"/>
        </w:rPr>
      </w:pPr>
    </w:p>
    <w:p>
      <w:pPr>
        <w:spacing w:line="440" w:lineRule="exact"/>
        <w:ind w:firstLine="480" w:firstLineChars="200"/>
        <w:rPr>
          <w:sz w:val="24"/>
        </w:rPr>
      </w:pPr>
    </w:p>
    <w:p>
      <w:pPr>
        <w:spacing w:line="440" w:lineRule="exact"/>
        <w:ind w:firstLine="480" w:firstLineChars="200"/>
        <w:rPr>
          <w:sz w:val="24"/>
        </w:rPr>
      </w:pPr>
    </w:p>
    <w:p>
      <w:pPr>
        <w:spacing w:line="440" w:lineRule="exact"/>
        <w:ind w:firstLine="480" w:firstLineChars="200"/>
        <w:rPr>
          <w:sz w:val="24"/>
        </w:rPr>
      </w:pPr>
      <w:r>
        <w:rPr>
          <w:rFonts w:hint="eastAsia"/>
          <w:sz w:val="24"/>
        </w:rPr>
        <w:t xml:space="preserve">甲方（盖章）：                        乙方（盖章）：          </w:t>
      </w:r>
    </w:p>
    <w:p>
      <w:pPr>
        <w:spacing w:line="440" w:lineRule="exact"/>
        <w:ind w:firstLine="480" w:firstLineChars="200"/>
        <w:rPr>
          <w:sz w:val="24"/>
        </w:rPr>
      </w:pPr>
    </w:p>
    <w:p>
      <w:pPr>
        <w:spacing w:line="440" w:lineRule="exact"/>
        <w:ind w:firstLine="480" w:firstLineChars="200"/>
        <w:rPr>
          <w:sz w:val="24"/>
        </w:rPr>
      </w:pPr>
    </w:p>
    <w:p>
      <w:pPr>
        <w:spacing w:line="440" w:lineRule="exact"/>
        <w:ind w:firstLine="480" w:firstLineChars="200"/>
        <w:rPr>
          <w:sz w:val="24"/>
        </w:rPr>
      </w:pPr>
    </w:p>
    <w:p>
      <w:pPr>
        <w:spacing w:line="440" w:lineRule="exact"/>
        <w:ind w:firstLine="480" w:firstLineChars="200"/>
        <w:rPr>
          <w:sz w:val="24"/>
        </w:rPr>
      </w:pPr>
      <w:r>
        <w:rPr>
          <w:rFonts w:hint="eastAsia"/>
          <w:sz w:val="24"/>
        </w:rPr>
        <w:t xml:space="preserve">代表（签字）：                        代表（签字）：      </w:t>
      </w:r>
    </w:p>
    <w:p>
      <w:pPr>
        <w:spacing w:line="440" w:lineRule="exact"/>
        <w:ind w:firstLine="480" w:firstLineChars="200"/>
        <w:rPr>
          <w:sz w:val="24"/>
        </w:rPr>
      </w:pPr>
    </w:p>
    <w:p>
      <w:pPr>
        <w:spacing w:line="440" w:lineRule="exact"/>
        <w:ind w:firstLine="480" w:firstLineChars="200"/>
        <w:rPr>
          <w:sz w:val="24"/>
        </w:rPr>
      </w:pPr>
    </w:p>
    <w:p>
      <w:pPr>
        <w:spacing w:line="440" w:lineRule="exact"/>
        <w:rPr>
          <w:sz w:val="24"/>
        </w:rPr>
      </w:pPr>
    </w:p>
    <w:p>
      <w:pPr>
        <w:spacing w:line="440" w:lineRule="exact"/>
        <w:ind w:firstLine="6300" w:firstLineChars="2625"/>
        <w:rPr>
          <w:sz w:val="24"/>
        </w:rPr>
      </w:pPr>
    </w:p>
    <w:p>
      <w:pPr>
        <w:spacing w:line="440" w:lineRule="exact"/>
        <w:ind w:firstLine="6300" w:firstLineChars="2625"/>
        <w:rPr>
          <w:sz w:val="24"/>
        </w:rPr>
      </w:pPr>
    </w:p>
    <w:p>
      <w:pPr>
        <w:spacing w:line="440" w:lineRule="exact"/>
        <w:ind w:firstLine="6300" w:firstLineChars="2625"/>
        <w:rPr>
          <w:sz w:val="24"/>
        </w:rPr>
      </w:pPr>
      <w:r>
        <w:rPr>
          <w:rFonts w:hint="eastAsia"/>
          <w:sz w:val="24"/>
        </w:rPr>
        <w:t xml:space="preserve">签署地点： </w:t>
      </w:r>
    </w:p>
    <w:p>
      <w:pPr>
        <w:spacing w:line="440" w:lineRule="exact"/>
        <w:rPr>
          <w:lang w:val="en-US"/>
        </w:rPr>
      </w:pPr>
      <w:r>
        <w:rPr>
          <w:rFonts w:hint="eastAsia"/>
          <w:sz w:val="24"/>
        </w:rPr>
        <w:t xml:space="preserve">                                               签署日期：    年  月  日</w:t>
      </w:r>
      <w:r>
        <w:rPr>
          <w:rFonts w:hint="eastAsia"/>
          <w:lang w:val="en-US"/>
        </w:rPr>
        <w:br w:type="page"/>
      </w:r>
    </w:p>
    <w:p>
      <w:pPr>
        <w:pStyle w:val="2"/>
        <w:tabs>
          <w:tab w:val="left" w:pos="1555"/>
        </w:tabs>
        <w:ind w:left="442"/>
      </w:pPr>
      <w:bookmarkStart w:id="49" w:name="_Toc32327_WPSOffice_Level1"/>
      <w:r>
        <w:rPr>
          <w:rFonts w:hint="eastAsia"/>
          <w:lang w:val="en-US"/>
        </w:rPr>
        <w:t xml:space="preserve">第五章 </w:t>
      </w:r>
      <w:r>
        <w:t>投标文件格式</w:t>
      </w:r>
      <w:bookmarkEnd w:id="49"/>
    </w:p>
    <w:p>
      <w:pPr>
        <w:pStyle w:val="3"/>
        <w:tabs>
          <w:tab w:val="left" w:pos="1687"/>
          <w:tab w:val="left" w:pos="2248"/>
        </w:tabs>
        <w:spacing w:before="0"/>
        <w:ind w:left="0" w:right="157"/>
        <w:jc w:val="center"/>
      </w:pPr>
      <w:bookmarkStart w:id="50" w:name="_Toc6659_WPSOffice_Level1"/>
      <w:r>
        <w:t>附件一：报</w:t>
      </w:r>
      <w:r>
        <w:tab/>
      </w:r>
      <w:r>
        <w:t>价</w:t>
      </w:r>
      <w:r>
        <w:tab/>
      </w:r>
      <w:r>
        <w:t>函</w:t>
      </w:r>
      <w:bookmarkEnd w:id="50"/>
    </w:p>
    <w:p>
      <w:pPr>
        <w:pStyle w:val="8"/>
        <w:tabs>
          <w:tab w:val="left" w:pos="4771"/>
        </w:tabs>
        <w:spacing w:line="480" w:lineRule="exact"/>
      </w:pPr>
      <w:r>
        <w:rPr>
          <w:rFonts w:hint="eastAsia"/>
          <w:u w:val="single"/>
          <w:lang w:val="en-US"/>
        </w:rPr>
        <w:t xml:space="preserve">    </w:t>
      </w:r>
      <w:r>
        <w:rPr>
          <w:rFonts w:hint="eastAsia"/>
          <w:u w:val="single"/>
        </w:rPr>
        <w:t xml:space="preserve">                  </w:t>
      </w:r>
      <w:r>
        <w:rPr>
          <w:rFonts w:hint="eastAsia"/>
        </w:rPr>
        <w:t>：</w:t>
      </w:r>
    </w:p>
    <w:p>
      <w:pPr>
        <w:pStyle w:val="8"/>
        <w:tabs>
          <w:tab w:val="left" w:pos="5770"/>
        </w:tabs>
        <w:spacing w:before="170" w:line="480" w:lineRule="exact"/>
        <w:ind w:hanging="11"/>
      </w:pPr>
      <w:r>
        <w:t>经研究</w:t>
      </w:r>
      <w:r>
        <w:rPr>
          <w:spacing w:val="-80"/>
        </w:rPr>
        <w:t>，</w:t>
      </w:r>
      <w:r>
        <w:t>我方决定参加项目编号为</w:t>
      </w:r>
      <w:r>
        <w:rPr>
          <w:u w:val="single"/>
        </w:rPr>
        <w:tab/>
      </w:r>
      <w:r>
        <w:t>的</w:t>
      </w:r>
      <w:r>
        <w:rPr>
          <w:rFonts w:hint="eastAsia"/>
          <w:u w:val="single"/>
        </w:rPr>
        <w:t xml:space="preserve">            </w:t>
      </w:r>
      <w:r>
        <w:t>采购项目</w:t>
      </w:r>
      <w:r>
        <w:rPr>
          <w:spacing w:val="-77"/>
        </w:rPr>
        <w:t>。</w:t>
      </w:r>
      <w:r>
        <w:t>为此</w:t>
      </w:r>
      <w:r>
        <w:rPr>
          <w:spacing w:val="-80"/>
        </w:rPr>
        <w:t>，</w:t>
      </w:r>
      <w:r>
        <w:t>我方承诺如下：</w:t>
      </w:r>
    </w:p>
    <w:p>
      <w:pPr>
        <w:pStyle w:val="8"/>
        <w:spacing w:line="480" w:lineRule="exact"/>
        <w:ind w:hanging="11"/>
      </w:pPr>
      <w:r>
        <w:t>1、我方提交的投标文件，正本一份，副本五份。</w:t>
      </w:r>
    </w:p>
    <w:p>
      <w:pPr>
        <w:pStyle w:val="8"/>
        <w:tabs>
          <w:tab w:val="left" w:pos="8140"/>
        </w:tabs>
        <w:spacing w:line="480" w:lineRule="exact"/>
        <w:ind w:hanging="11"/>
      </w:pPr>
      <w:r>
        <w:t>2</w:t>
      </w:r>
      <w:r>
        <w:rPr>
          <w:spacing w:val="-1"/>
        </w:rPr>
        <w:t xml:space="preserve">、如果我方的投标文件被接受，我方将履行招标文件中规定的每一项要求， </w:t>
      </w:r>
      <w:r>
        <w:t>并按我方投标文件中的承诺按期、保质、保量提供服务。</w:t>
      </w:r>
    </w:p>
    <w:p>
      <w:pPr>
        <w:pStyle w:val="8"/>
        <w:spacing w:before="1" w:line="480" w:lineRule="exact"/>
        <w:ind w:hanging="11"/>
      </w:pPr>
      <w:r>
        <w:t>3、我方理解，最低报价不是中标的唯一条件和保证。</w:t>
      </w:r>
    </w:p>
    <w:p>
      <w:pPr>
        <w:pStyle w:val="8"/>
        <w:spacing w:line="480" w:lineRule="exact"/>
        <w:ind w:hanging="11"/>
      </w:pPr>
      <w:r>
        <w:t>4、我方愿按《中华人民共和国合同法》履行自己的全部责任。</w:t>
      </w:r>
    </w:p>
    <w:p>
      <w:pPr>
        <w:pStyle w:val="8"/>
        <w:spacing w:line="480" w:lineRule="exact"/>
        <w:ind w:hanging="11"/>
      </w:pPr>
      <w:r>
        <w:t>5</w:t>
      </w:r>
      <w:r>
        <w:rPr>
          <w:spacing w:val="-11"/>
        </w:rPr>
        <w:t>、我方同意按招标文件规定交纳投标保证金等相关费用，遵守贵机构有关招</w:t>
      </w:r>
      <w:r>
        <w:t>标的各项规定。</w:t>
      </w:r>
    </w:p>
    <w:p>
      <w:pPr>
        <w:pStyle w:val="8"/>
        <w:spacing w:before="1" w:line="480" w:lineRule="exact"/>
        <w:ind w:hanging="11"/>
      </w:pPr>
      <w:r>
        <w:t>6、我方的投标文件自报价之日起有效期为 90 日历天。</w:t>
      </w:r>
    </w:p>
    <w:p>
      <w:pPr>
        <w:pStyle w:val="8"/>
        <w:spacing w:line="480" w:lineRule="exact"/>
        <w:ind w:right="4337" w:hanging="11"/>
      </w:pPr>
      <w:r>
        <w:t xml:space="preserve">7、与本报价有关的一切正式往来通讯请寄： </w:t>
      </w:r>
    </w:p>
    <w:p>
      <w:pPr>
        <w:pStyle w:val="8"/>
        <w:spacing w:line="480" w:lineRule="exact"/>
        <w:ind w:right="4337" w:hanging="11"/>
      </w:pPr>
      <w:r>
        <w:t>投标人代表姓名、职务（印刷体）：</w:t>
      </w:r>
    </w:p>
    <w:p>
      <w:pPr>
        <w:pStyle w:val="8"/>
        <w:spacing w:line="480" w:lineRule="exact"/>
        <w:ind w:hanging="11"/>
      </w:pPr>
      <w:r>
        <w:t>投标人单位全称（公章）</w:t>
      </w:r>
    </w:p>
    <w:p>
      <w:pPr>
        <w:pStyle w:val="8"/>
        <w:tabs>
          <w:tab w:val="left" w:pos="2583"/>
        </w:tabs>
        <w:spacing w:line="480" w:lineRule="exact"/>
        <w:ind w:right="5182" w:hanging="11"/>
        <w:rPr>
          <w:spacing w:val="-17"/>
        </w:rPr>
      </w:pPr>
      <w:r>
        <w:t>法定代表人或授权代理人签字</w:t>
      </w:r>
      <w:r>
        <w:rPr>
          <w:spacing w:val="-17"/>
        </w:rPr>
        <w:t xml:space="preserve">： </w:t>
      </w:r>
    </w:p>
    <w:p>
      <w:pPr>
        <w:pStyle w:val="8"/>
        <w:tabs>
          <w:tab w:val="left" w:pos="2583"/>
        </w:tabs>
        <w:spacing w:line="480" w:lineRule="exact"/>
        <w:ind w:right="5182" w:hanging="11"/>
      </w:pPr>
      <w:r>
        <w:t>地址：</w:t>
      </w:r>
    </w:p>
    <w:p>
      <w:pPr>
        <w:pStyle w:val="8"/>
        <w:tabs>
          <w:tab w:val="left" w:pos="2583"/>
        </w:tabs>
        <w:spacing w:line="480" w:lineRule="exact"/>
        <w:ind w:right="7361" w:hanging="11"/>
        <w:rPr>
          <w:spacing w:val="-17"/>
        </w:rPr>
      </w:pPr>
      <w:r>
        <w:t>邮政编码</w:t>
      </w:r>
      <w:r>
        <w:rPr>
          <w:spacing w:val="-17"/>
        </w:rPr>
        <w:t xml:space="preserve">： </w:t>
      </w:r>
    </w:p>
    <w:p>
      <w:pPr>
        <w:pStyle w:val="8"/>
        <w:tabs>
          <w:tab w:val="left" w:pos="2583"/>
        </w:tabs>
        <w:spacing w:line="480" w:lineRule="exact"/>
        <w:ind w:right="7361" w:hanging="11"/>
      </w:pPr>
      <w:r>
        <w:t>电话</w:t>
      </w:r>
      <w:r>
        <w:rPr>
          <w:spacing w:val="-17"/>
        </w:rPr>
        <w:t>：</w:t>
      </w:r>
    </w:p>
    <w:p>
      <w:pPr>
        <w:pStyle w:val="8"/>
        <w:tabs>
          <w:tab w:val="left" w:pos="2583"/>
        </w:tabs>
        <w:spacing w:before="2" w:line="480" w:lineRule="exact"/>
        <w:ind w:hanging="11"/>
      </w:pPr>
      <w:r>
        <w:t>传真：</w:t>
      </w:r>
    </w:p>
    <w:p>
      <w:pPr>
        <w:pStyle w:val="8"/>
        <w:spacing w:line="480" w:lineRule="exact"/>
        <w:ind w:hanging="11"/>
      </w:pPr>
    </w:p>
    <w:p>
      <w:pPr>
        <w:pStyle w:val="8"/>
        <w:spacing w:before="9" w:line="480" w:lineRule="exact"/>
        <w:ind w:hanging="11"/>
        <w:rPr>
          <w:sz w:val="23"/>
        </w:rPr>
      </w:pPr>
    </w:p>
    <w:p>
      <w:pPr>
        <w:pStyle w:val="8"/>
        <w:tabs>
          <w:tab w:val="left" w:pos="599"/>
          <w:tab w:val="left" w:pos="1199"/>
        </w:tabs>
        <w:spacing w:line="480" w:lineRule="exact"/>
        <w:ind w:hanging="11"/>
        <w:jc w:val="right"/>
      </w:pPr>
      <w:r>
        <w:t>年</w:t>
      </w:r>
      <w:r>
        <w:tab/>
      </w:r>
      <w:r>
        <w:t>月</w:t>
      </w:r>
      <w:r>
        <w:tab/>
      </w:r>
      <w:r>
        <w:t>日</w:t>
      </w:r>
    </w:p>
    <w:p/>
    <w:p>
      <w:pPr>
        <w:rPr>
          <w:lang w:val="en-US"/>
        </w:rPr>
      </w:pPr>
    </w:p>
    <w:p>
      <w:pPr>
        <w:ind w:left="440"/>
        <w:rPr>
          <w:lang w:val="en-US"/>
        </w:rPr>
      </w:pPr>
    </w:p>
    <w:p>
      <w:pPr>
        <w:spacing w:line="480" w:lineRule="exact"/>
        <w:ind w:firstLine="460" w:firstLineChars="200"/>
        <w:rPr>
          <w:color w:val="FF0000"/>
          <w:spacing w:val="-5"/>
          <w:sz w:val="24"/>
        </w:rPr>
      </w:pPr>
    </w:p>
    <w:p>
      <w:pPr>
        <w:pStyle w:val="21"/>
        <w:tabs>
          <w:tab w:val="left" w:pos="2011"/>
          <w:tab w:val="left" w:pos="2012"/>
        </w:tabs>
        <w:spacing w:line="480" w:lineRule="exact"/>
        <w:ind w:left="11" w:hanging="11" w:hangingChars="5"/>
        <w:rPr>
          <w:b/>
          <w:bCs/>
          <w:spacing w:val="-7"/>
          <w:sz w:val="24"/>
        </w:rPr>
      </w:pPr>
    </w:p>
    <w:p>
      <w:pPr>
        <w:widowControl/>
        <w:rPr>
          <w:b/>
          <w:bCs/>
          <w:sz w:val="28"/>
          <w:szCs w:val="28"/>
        </w:rPr>
      </w:pPr>
      <w:bookmarkStart w:id="51" w:name="_Toc4454_WPSOffice_Level1"/>
    </w:p>
    <w:p>
      <w:pPr>
        <w:pStyle w:val="3"/>
        <w:spacing w:before="42"/>
        <w:ind w:left="0"/>
        <w:jc w:val="center"/>
      </w:pPr>
      <w:r>
        <w:t>附件二：法定代表人授权委托书</w:t>
      </w:r>
      <w:bookmarkEnd w:id="51"/>
    </w:p>
    <w:p>
      <w:pPr>
        <w:pStyle w:val="8"/>
        <w:tabs>
          <w:tab w:val="left" w:pos="4771"/>
        </w:tabs>
        <w:spacing w:line="480" w:lineRule="exact"/>
      </w:pPr>
      <w:r>
        <w:rPr>
          <w:rFonts w:hint="eastAsia"/>
          <w:u w:val="single"/>
          <w:lang w:val="en-US"/>
        </w:rPr>
        <w:t xml:space="preserve">    </w:t>
      </w:r>
      <w:r>
        <w:rPr>
          <w:rFonts w:hint="eastAsia"/>
          <w:u w:val="single"/>
        </w:rPr>
        <w:t xml:space="preserve">                  </w:t>
      </w:r>
      <w:r>
        <w:rPr>
          <w:rFonts w:hint="eastAsia"/>
        </w:rPr>
        <w:t>：</w:t>
      </w:r>
    </w:p>
    <w:p>
      <w:pPr>
        <w:pStyle w:val="8"/>
        <w:tabs>
          <w:tab w:val="left" w:pos="3331"/>
          <w:tab w:val="left" w:pos="4051"/>
          <w:tab w:val="left" w:pos="4291"/>
          <w:tab w:val="left" w:pos="8374"/>
          <w:tab w:val="left" w:pos="8854"/>
        </w:tabs>
        <w:spacing w:before="74" w:line="480" w:lineRule="exact"/>
        <w:ind w:left="11" w:hanging="11"/>
        <w:jc w:val="both"/>
        <w:rPr>
          <w:sz w:val="19"/>
        </w:rPr>
      </w:pPr>
      <w:r>
        <w:t>（投标人名称</w:t>
      </w:r>
      <w:r>
        <w:rPr>
          <w:spacing w:val="-118"/>
        </w:rPr>
        <w:t>）</w:t>
      </w:r>
      <w:r>
        <w:rPr>
          <w:rFonts w:hint="eastAsia"/>
        </w:rPr>
        <w:t>）法定代表人</w:t>
      </w:r>
      <w:r>
        <w:t>授</w:t>
      </w:r>
      <w:r>
        <w:rPr>
          <w:spacing w:val="-17"/>
        </w:rPr>
        <w:t>权</w:t>
      </w:r>
      <w:r>
        <w:t>我公司</w:t>
      </w:r>
      <w:r>
        <w:rPr>
          <w:u w:val="single"/>
        </w:rPr>
        <w:tab/>
      </w:r>
      <w:r>
        <w:t>（职务或职称）（姓名</w:t>
      </w:r>
      <w:r>
        <w:rPr>
          <w:spacing w:val="-17"/>
        </w:rPr>
        <w:t xml:space="preserve">） </w:t>
      </w:r>
      <w:r>
        <w:t>为我单位本次报价授权代理人</w:t>
      </w:r>
      <w:r>
        <w:rPr>
          <w:spacing w:val="-60"/>
        </w:rPr>
        <w:t>，</w:t>
      </w:r>
      <w:r>
        <w:t>全权处理此次</w:t>
      </w:r>
      <w:r>
        <w:rPr>
          <w:u w:val="single"/>
        </w:rPr>
        <w:tab/>
      </w:r>
      <w:r>
        <w:rPr>
          <w:spacing w:val="-3"/>
          <w:u w:val="single"/>
        </w:rPr>
        <w:t>（</w:t>
      </w:r>
      <w:r>
        <w:rPr>
          <w:spacing w:val="-16"/>
        </w:rPr>
        <w:t>项</w:t>
      </w:r>
      <w:r>
        <w:t>目编号：）招标活动的一切事宜。</w:t>
      </w:r>
    </w:p>
    <w:p>
      <w:pPr>
        <w:pStyle w:val="8"/>
        <w:spacing w:line="480" w:lineRule="exact"/>
      </w:pPr>
    </w:p>
    <w:p>
      <w:pPr>
        <w:pStyle w:val="8"/>
        <w:spacing w:line="480" w:lineRule="exact"/>
      </w:pPr>
      <w:r>
        <w:t>特此授权。</w:t>
      </w:r>
    </w:p>
    <w:p>
      <w:pPr>
        <w:pStyle w:val="21"/>
        <w:tabs>
          <w:tab w:val="left" w:pos="2011"/>
          <w:tab w:val="left" w:pos="2012"/>
        </w:tabs>
        <w:spacing w:line="480" w:lineRule="exact"/>
        <w:ind w:left="11" w:hanging="11" w:hangingChars="5"/>
        <w:rPr>
          <w:spacing w:val="-7"/>
          <w:sz w:val="24"/>
        </w:rPr>
      </w:pPr>
    </w:p>
    <w:p>
      <w:pPr>
        <w:pStyle w:val="8"/>
        <w:spacing w:before="1" w:line="480" w:lineRule="exact"/>
        <w:ind w:hanging="10"/>
      </w:pPr>
      <w:r>
        <w:t xml:space="preserve">（附法定代表人、授权代理人身份证明复印件） </w:t>
      </w:r>
    </w:p>
    <w:p>
      <w:pPr>
        <w:pStyle w:val="8"/>
        <w:spacing w:before="1" w:line="480" w:lineRule="exact"/>
        <w:ind w:hanging="10"/>
      </w:pPr>
    </w:p>
    <w:p>
      <w:pPr>
        <w:pStyle w:val="8"/>
        <w:spacing w:before="1" w:line="480" w:lineRule="exact"/>
        <w:ind w:hanging="10"/>
      </w:pPr>
    </w:p>
    <w:p>
      <w:pPr>
        <w:pStyle w:val="8"/>
        <w:spacing w:before="1" w:line="480" w:lineRule="exact"/>
      </w:pPr>
      <w:r>
        <w:t>单位名称（公章）：</w:t>
      </w:r>
    </w:p>
    <w:p>
      <w:pPr>
        <w:pStyle w:val="8"/>
        <w:spacing w:before="152" w:line="480" w:lineRule="exact"/>
        <w:ind w:hanging="10"/>
      </w:pPr>
      <w:r>
        <w:t xml:space="preserve">法定代表人签字： </w:t>
      </w:r>
    </w:p>
    <w:p>
      <w:pPr>
        <w:pStyle w:val="8"/>
        <w:spacing w:before="152" w:line="480" w:lineRule="exact"/>
        <w:ind w:hanging="10"/>
      </w:pPr>
      <w:r>
        <w:t>授权代理人签字：</w:t>
      </w:r>
    </w:p>
    <w:p>
      <w:pPr>
        <w:pStyle w:val="8"/>
        <w:spacing w:before="152" w:line="480" w:lineRule="exact"/>
        <w:ind w:hanging="10"/>
      </w:pPr>
    </w:p>
    <w:p>
      <w:pPr>
        <w:pStyle w:val="8"/>
        <w:spacing w:before="152" w:line="480" w:lineRule="exact"/>
        <w:ind w:hanging="10"/>
        <w:jc w:val="right"/>
        <w:rPr>
          <w:lang w:val="en-US"/>
        </w:rPr>
      </w:pPr>
      <w:r>
        <w:rPr>
          <w:rFonts w:hint="eastAsia"/>
          <w:lang w:val="en-US"/>
        </w:rPr>
        <w:t xml:space="preserve">                            年     月     日</w:t>
      </w:r>
    </w:p>
    <w:p>
      <w:pPr>
        <w:pStyle w:val="21"/>
        <w:tabs>
          <w:tab w:val="left" w:pos="2131"/>
          <w:tab w:val="left" w:pos="2132"/>
        </w:tabs>
        <w:spacing w:before="192"/>
        <w:ind w:left="11" w:hanging="11" w:hangingChars="5"/>
        <w:rPr>
          <w:spacing w:val="-8"/>
          <w:sz w:val="24"/>
        </w:rPr>
      </w:pPr>
      <w:r>
        <w:rPr>
          <w:spacing w:val="-8"/>
          <w:sz w:val="24"/>
        </w:rPr>
        <w:br w:type="page"/>
      </w:r>
    </w:p>
    <w:p>
      <w:pPr>
        <w:pStyle w:val="3"/>
        <w:spacing w:before="42"/>
        <w:ind w:left="0"/>
        <w:jc w:val="center"/>
      </w:pPr>
      <w:r>
        <w:rPr>
          <w:rFonts w:ascii="宋体" w:hAnsi="宋体" w:eastAsia="宋体" w:cs="宋体"/>
          <w:b/>
          <w:bCs/>
          <w:sz w:val="28"/>
          <w:szCs w:val="28"/>
          <w:lang w:val="zh-CN" w:eastAsia="zh-CN" w:bidi="zh-CN"/>
        </w:rPr>
        <w:pict>
          <v:line id="Line 2" o:spid="_x0000_s1027" style="position:absolute;left:0;margin-left:301.75pt;margin-top:199.6pt;height:0.05pt;width:48.2pt;mso-position-horizontal-relative:page;rotation:0f;z-index:-25165824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宋体" w:hAnsi="宋体" w:eastAsia="宋体" w:cs="宋体"/>
          <w:b/>
          <w:bCs/>
          <w:sz w:val="28"/>
          <w:szCs w:val="28"/>
          <w:lang w:val="zh-CN" w:eastAsia="zh-CN" w:bidi="zh-CN"/>
        </w:rPr>
        <w:pict>
          <v:line id="Line 3" o:spid="_x0000_s1028" style="position:absolute;left:0;margin-left:350pt;margin-top:221.6pt;height:0.05pt;width:48.25pt;mso-position-horizontal-relative:page;rotation:0f;z-index:-25165721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bookmarkStart w:id="52" w:name="_bookmark15"/>
      <w:bookmarkEnd w:id="52"/>
      <w:bookmarkStart w:id="53" w:name="附件三：报_价_一_览_表"/>
      <w:bookmarkEnd w:id="53"/>
      <w:r>
        <w:t>附件三：报 价 一 览 表</w:t>
      </w:r>
    </w:p>
    <w:p>
      <w:pPr>
        <w:pStyle w:val="8"/>
        <w:spacing w:before="4"/>
        <w:rPr>
          <w:b/>
          <w:sz w:val="21"/>
        </w:rPr>
      </w:pPr>
    </w:p>
    <w:tbl>
      <w:tblPr>
        <w:tblStyle w:val="18"/>
        <w:tblW w:w="8920" w:type="dxa"/>
        <w:jc w:val="center"/>
        <w:tblInd w:w="8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Pr>
      <w:tblGrid>
        <w:gridCol w:w="2358"/>
        <w:gridCol w:w="65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PrEx>
        <w:trPr>
          <w:trHeight w:val="723" w:hRule="atLeast"/>
          <w:jc w:val="center"/>
        </w:trPr>
        <w:tc>
          <w:tcPr>
            <w:tcW w:w="2358" w:type="dxa"/>
            <w:vAlign w:val="top"/>
          </w:tcPr>
          <w:p>
            <w:pPr>
              <w:pStyle w:val="20"/>
              <w:spacing w:before="10"/>
              <w:rPr>
                <w:rFonts w:ascii="Times New Roman" w:hAnsi="Times New Roman" w:cs="Times New Roman"/>
                <w:b/>
                <w:sz w:val="21"/>
                <w:szCs w:val="20"/>
              </w:rPr>
            </w:pPr>
          </w:p>
          <w:p>
            <w:pPr>
              <w:pStyle w:val="20"/>
              <w:ind w:left="558" w:right="433"/>
              <w:jc w:val="center"/>
              <w:rPr>
                <w:rFonts w:ascii="Times New Roman" w:hAnsi="Times New Roman" w:cs="Times New Roman"/>
                <w:b/>
                <w:sz w:val="24"/>
                <w:szCs w:val="20"/>
              </w:rPr>
            </w:pPr>
            <w:r>
              <w:rPr>
                <w:rFonts w:ascii="Times New Roman" w:hAnsi="Times New Roman" w:cs="Times New Roman"/>
                <w:b/>
                <w:sz w:val="24"/>
                <w:szCs w:val="20"/>
              </w:rPr>
              <w:t>项目名称</w:t>
            </w:r>
          </w:p>
        </w:tc>
        <w:tc>
          <w:tcPr>
            <w:tcW w:w="6562" w:type="dxa"/>
            <w:vAlign w:val="top"/>
          </w:tcPr>
          <w:p>
            <w:pPr>
              <w:pStyle w:val="20"/>
              <w:spacing w:before="11"/>
              <w:rPr>
                <w:rFonts w:ascii="Times New Roman" w:hAnsi="Times New Roman" w:cs="Times New Roman"/>
                <w:b/>
                <w:sz w:val="19"/>
                <w:szCs w:val="20"/>
              </w:rPr>
            </w:pPr>
          </w:p>
          <w:p>
            <w:pPr>
              <w:pStyle w:val="20"/>
              <w:spacing w:before="1"/>
              <w:ind w:left="3020" w:right="3004"/>
              <w:jc w:val="center"/>
              <w:rPr>
                <w:rFonts w:ascii="Times New Roman" w:hAnsi="Times New Roman" w:cs="Times New Roman"/>
                <w:b/>
                <w:sz w:val="24"/>
                <w:szCs w:val="20"/>
              </w:rPr>
            </w:pPr>
            <w:r>
              <w:rPr>
                <w:rFonts w:ascii="Times New Roman" w:hAnsi="Times New Roman" w:cs="Times New Roman"/>
                <w:b/>
                <w:sz w:val="24"/>
                <w:szCs w:val="20"/>
              </w:rPr>
              <w:t>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PrEx>
        <w:trPr>
          <w:trHeight w:val="859" w:hRule="atLeast"/>
          <w:jc w:val="center"/>
        </w:trPr>
        <w:tc>
          <w:tcPr>
            <w:tcW w:w="2358" w:type="dxa"/>
            <w:vAlign w:val="center"/>
          </w:tcPr>
          <w:p>
            <w:pPr>
              <w:pStyle w:val="20"/>
              <w:ind w:right="144"/>
              <w:jc w:val="center"/>
              <w:rPr>
                <w:rFonts w:ascii="Times New Roman" w:hAnsi="Times New Roman" w:cs="Times New Roman"/>
                <w:sz w:val="24"/>
                <w:szCs w:val="20"/>
              </w:rPr>
            </w:pPr>
            <w:r>
              <w:rPr>
                <w:rFonts w:hint="eastAsia" w:ascii="Times New Roman" w:hAnsi="Times New Roman" w:cs="Times New Roman"/>
                <w:sz w:val="24"/>
                <w:szCs w:val="20"/>
              </w:rPr>
              <w:t>包号</w:t>
            </w:r>
          </w:p>
        </w:tc>
        <w:tc>
          <w:tcPr>
            <w:tcW w:w="6562" w:type="dxa"/>
            <w:vAlign w:val="top"/>
          </w:tcPr>
          <w:p>
            <w:pPr>
              <w:pStyle w:val="20"/>
              <w:rPr>
                <w:rFonts w:ascii="Times New Roman" w:hAnsi="Times New Roman" w:cs="Times New Roman"/>
                <w:sz w:val="24"/>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PrEx>
        <w:trPr>
          <w:trHeight w:val="1270" w:hRule="atLeast"/>
          <w:jc w:val="center"/>
        </w:trPr>
        <w:tc>
          <w:tcPr>
            <w:tcW w:w="2358" w:type="dxa"/>
            <w:vAlign w:val="center"/>
          </w:tcPr>
          <w:p>
            <w:pPr>
              <w:pStyle w:val="20"/>
              <w:ind w:right="144"/>
              <w:jc w:val="center"/>
              <w:rPr>
                <w:rFonts w:ascii="Times New Roman" w:hAnsi="Times New Roman" w:cs="Times New Roman"/>
                <w:sz w:val="24"/>
                <w:szCs w:val="20"/>
              </w:rPr>
            </w:pPr>
            <w:r>
              <w:rPr>
                <w:rFonts w:ascii="Times New Roman" w:hAnsi="Times New Roman" w:cs="Times New Roman"/>
                <w:sz w:val="24"/>
                <w:szCs w:val="20"/>
              </w:rPr>
              <w:t>投标人名称</w:t>
            </w:r>
          </w:p>
        </w:tc>
        <w:tc>
          <w:tcPr>
            <w:tcW w:w="6562" w:type="dxa"/>
            <w:vAlign w:val="top"/>
          </w:tcPr>
          <w:p>
            <w:pPr>
              <w:pStyle w:val="20"/>
              <w:rPr>
                <w:rFonts w:ascii="Times New Roman" w:hAnsi="Times New Roman" w:cs="Times New Roman"/>
                <w:sz w:val="24"/>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PrEx>
        <w:trPr>
          <w:trHeight w:val="781" w:hRule="atLeast"/>
          <w:jc w:val="center"/>
        </w:trPr>
        <w:tc>
          <w:tcPr>
            <w:tcW w:w="2358" w:type="dxa"/>
            <w:tcBorders>
              <w:top w:val="single" w:color="000000" w:sz="4" w:space="0"/>
              <w:bottom w:val="single" w:color="000000" w:sz="4" w:space="0"/>
            </w:tcBorders>
            <w:vAlign w:val="center"/>
          </w:tcPr>
          <w:p>
            <w:pPr>
              <w:pStyle w:val="20"/>
              <w:ind w:left="558" w:right="435"/>
              <w:jc w:val="center"/>
              <w:rPr>
                <w:rFonts w:ascii="Times New Roman" w:hAnsi="Times New Roman" w:cs="Times New Roman"/>
                <w:sz w:val="24"/>
                <w:szCs w:val="20"/>
              </w:rPr>
            </w:pPr>
            <w:r>
              <w:rPr>
                <w:rFonts w:hint="eastAsia" w:ascii="Times New Roman" w:hAnsi="Times New Roman" w:cs="Times New Roman"/>
                <w:sz w:val="24"/>
                <w:szCs w:val="20"/>
              </w:rPr>
              <w:t>报价</w:t>
            </w:r>
          </w:p>
        </w:tc>
        <w:tc>
          <w:tcPr>
            <w:tcW w:w="6562" w:type="dxa"/>
            <w:tcBorders>
              <w:top w:val="single" w:color="000000" w:sz="4" w:space="0"/>
              <w:bottom w:val="single" w:color="000000" w:sz="4" w:space="0"/>
            </w:tcBorders>
            <w:vAlign w:val="top"/>
          </w:tcPr>
          <w:p>
            <w:pPr>
              <w:pStyle w:val="20"/>
              <w:spacing w:line="480" w:lineRule="exact"/>
              <w:rPr>
                <w:rFonts w:ascii="Times New Roman" w:hAnsi="Times New Roman" w:cs="Times New Roman"/>
                <w:sz w:val="24"/>
                <w:szCs w:val="20"/>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PrEx>
        <w:trPr>
          <w:trHeight w:val="757" w:hRule="atLeast"/>
          <w:jc w:val="center"/>
        </w:trPr>
        <w:tc>
          <w:tcPr>
            <w:tcW w:w="2358" w:type="dxa"/>
            <w:tcBorders>
              <w:top w:val="single" w:color="000000" w:sz="4" w:space="0"/>
              <w:bottom w:val="single" w:color="000000" w:sz="4" w:space="0"/>
            </w:tcBorders>
            <w:vAlign w:val="top"/>
          </w:tcPr>
          <w:p>
            <w:pPr>
              <w:pStyle w:val="20"/>
              <w:spacing w:before="12"/>
              <w:rPr>
                <w:rFonts w:ascii="Times New Roman" w:hAnsi="Times New Roman" w:cs="Times New Roman"/>
                <w:b/>
                <w:sz w:val="23"/>
                <w:szCs w:val="20"/>
              </w:rPr>
            </w:pPr>
          </w:p>
          <w:p>
            <w:pPr>
              <w:pStyle w:val="20"/>
              <w:ind w:left="558" w:right="435"/>
              <w:jc w:val="center"/>
              <w:rPr>
                <w:rFonts w:ascii="Times New Roman" w:hAnsi="Times New Roman" w:cs="Times New Roman"/>
                <w:sz w:val="24"/>
                <w:szCs w:val="20"/>
              </w:rPr>
            </w:pPr>
            <w:r>
              <w:rPr>
                <w:rFonts w:ascii="Times New Roman" w:hAnsi="Times New Roman" w:cs="Times New Roman"/>
                <w:sz w:val="24"/>
                <w:szCs w:val="20"/>
              </w:rPr>
              <w:t>服务周期</w:t>
            </w:r>
          </w:p>
        </w:tc>
        <w:tc>
          <w:tcPr>
            <w:tcW w:w="6562" w:type="dxa"/>
            <w:tcBorders>
              <w:top w:val="single" w:color="000000" w:sz="4" w:space="0"/>
              <w:bottom w:val="single" w:color="000000" w:sz="4" w:space="0"/>
            </w:tcBorders>
            <w:vAlign w:val="top"/>
          </w:tcPr>
          <w:p>
            <w:pPr>
              <w:pStyle w:val="20"/>
              <w:rPr>
                <w:rFonts w:ascii="Times New Roman" w:hAnsi="Times New Roman" w:cs="Times New Roman"/>
                <w:sz w:val="24"/>
                <w:szCs w:val="20"/>
              </w:rPr>
            </w:pPr>
          </w:p>
          <w:p>
            <w:pPr>
              <w:tabs>
                <w:tab w:val="left" w:pos="3802"/>
              </w:tabs>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PrEx>
        <w:trPr>
          <w:trHeight w:val="780" w:hRule="atLeast"/>
          <w:jc w:val="center"/>
        </w:trPr>
        <w:tc>
          <w:tcPr>
            <w:tcW w:w="2358" w:type="dxa"/>
            <w:tcBorders>
              <w:top w:val="single" w:color="000000" w:sz="4" w:space="0"/>
            </w:tcBorders>
            <w:vAlign w:val="top"/>
          </w:tcPr>
          <w:p>
            <w:pPr>
              <w:pStyle w:val="20"/>
              <w:rPr>
                <w:rFonts w:ascii="Times New Roman" w:hAnsi="Times New Roman" w:cs="Times New Roman"/>
                <w:b/>
                <w:sz w:val="24"/>
                <w:szCs w:val="20"/>
              </w:rPr>
            </w:pPr>
          </w:p>
          <w:p>
            <w:pPr>
              <w:pStyle w:val="20"/>
              <w:ind w:left="558" w:right="435"/>
              <w:jc w:val="center"/>
              <w:rPr>
                <w:rFonts w:ascii="Times New Roman" w:hAnsi="Times New Roman" w:cs="Times New Roman"/>
                <w:sz w:val="24"/>
                <w:szCs w:val="20"/>
              </w:rPr>
            </w:pPr>
            <w:r>
              <w:rPr>
                <w:rFonts w:ascii="Times New Roman" w:hAnsi="Times New Roman" w:cs="Times New Roman"/>
                <w:sz w:val="24"/>
                <w:szCs w:val="20"/>
              </w:rPr>
              <w:t>服务星级</w:t>
            </w:r>
          </w:p>
        </w:tc>
        <w:tc>
          <w:tcPr>
            <w:tcW w:w="6562" w:type="dxa"/>
            <w:tcBorders>
              <w:top w:val="single" w:color="000000" w:sz="4" w:space="0"/>
            </w:tcBorders>
            <w:vAlign w:val="top"/>
          </w:tcPr>
          <w:p>
            <w:pPr>
              <w:tabs>
                <w:tab w:val="left" w:pos="3968"/>
              </w:tabs>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PrEx>
        <w:trPr>
          <w:trHeight w:val="1173" w:hRule="atLeast"/>
          <w:jc w:val="center"/>
        </w:trPr>
        <w:tc>
          <w:tcPr>
            <w:tcW w:w="2358" w:type="dxa"/>
            <w:vAlign w:val="top"/>
          </w:tcPr>
          <w:p>
            <w:pPr>
              <w:pStyle w:val="20"/>
              <w:rPr>
                <w:rFonts w:ascii="Times New Roman" w:hAnsi="Times New Roman" w:cs="Times New Roman"/>
                <w:b/>
                <w:sz w:val="24"/>
                <w:szCs w:val="20"/>
              </w:rPr>
            </w:pPr>
          </w:p>
          <w:p>
            <w:pPr>
              <w:pStyle w:val="20"/>
              <w:spacing w:before="195"/>
              <w:ind w:left="503" w:right="490"/>
              <w:jc w:val="center"/>
              <w:rPr>
                <w:rFonts w:ascii="Times New Roman" w:hAnsi="Times New Roman" w:cs="Times New Roman"/>
                <w:sz w:val="24"/>
                <w:szCs w:val="20"/>
              </w:rPr>
            </w:pPr>
            <w:r>
              <w:rPr>
                <w:rFonts w:ascii="Times New Roman" w:hAnsi="Times New Roman" w:cs="Times New Roman"/>
                <w:sz w:val="24"/>
                <w:szCs w:val="20"/>
              </w:rPr>
              <w:t>项目负责人</w:t>
            </w:r>
          </w:p>
        </w:tc>
        <w:tc>
          <w:tcPr>
            <w:tcW w:w="6562" w:type="dxa"/>
            <w:vAlign w:val="top"/>
          </w:tcPr>
          <w:p>
            <w:pPr>
              <w:pStyle w:val="20"/>
              <w:rPr>
                <w:rFonts w:ascii="Times New Roman" w:hAnsi="Times New Roman" w:cs="Times New Roman"/>
                <w:sz w:val="24"/>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PrEx>
        <w:trPr>
          <w:trHeight w:val="1147" w:hRule="atLeast"/>
          <w:jc w:val="center"/>
        </w:trPr>
        <w:tc>
          <w:tcPr>
            <w:tcW w:w="2358" w:type="dxa"/>
            <w:vAlign w:val="top"/>
          </w:tcPr>
          <w:p>
            <w:pPr>
              <w:pStyle w:val="20"/>
              <w:spacing w:before="18" w:line="520" w:lineRule="atLeast"/>
              <w:ind w:left="753" w:right="507" w:hanging="120"/>
              <w:rPr>
                <w:rFonts w:ascii="Times New Roman" w:hAnsi="Times New Roman" w:cs="Times New Roman"/>
                <w:sz w:val="24"/>
                <w:szCs w:val="20"/>
              </w:rPr>
            </w:pPr>
            <w:r>
              <w:rPr>
                <w:rFonts w:ascii="Times New Roman" w:hAnsi="Times New Roman" w:cs="Times New Roman"/>
                <w:sz w:val="24"/>
                <w:szCs w:val="20"/>
              </w:rPr>
              <w:t>对招标文件认同程度</w:t>
            </w:r>
          </w:p>
        </w:tc>
        <w:tc>
          <w:tcPr>
            <w:tcW w:w="6562" w:type="dxa"/>
            <w:vAlign w:val="top"/>
          </w:tcPr>
          <w:p>
            <w:pPr>
              <w:pStyle w:val="20"/>
              <w:rPr>
                <w:rFonts w:ascii="Times New Roman" w:hAnsi="Times New Roman" w:cs="Times New Roman"/>
                <w:sz w:val="24"/>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PrEx>
        <w:trPr>
          <w:trHeight w:val="915" w:hRule="atLeast"/>
          <w:jc w:val="center"/>
        </w:trPr>
        <w:tc>
          <w:tcPr>
            <w:tcW w:w="2358" w:type="dxa"/>
            <w:vAlign w:val="center"/>
          </w:tcPr>
          <w:p>
            <w:pPr>
              <w:pStyle w:val="20"/>
              <w:spacing w:before="1"/>
              <w:ind w:right="435"/>
              <w:jc w:val="center"/>
              <w:rPr>
                <w:rFonts w:ascii="Times New Roman" w:hAnsi="Times New Roman" w:cs="Times New Roman"/>
                <w:sz w:val="24"/>
                <w:szCs w:val="20"/>
              </w:rPr>
            </w:pPr>
            <w:r>
              <w:rPr>
                <w:rFonts w:ascii="Times New Roman" w:hAnsi="Times New Roman" w:cs="Times New Roman"/>
                <w:sz w:val="24"/>
                <w:szCs w:val="20"/>
              </w:rPr>
              <w:t>其他</w:t>
            </w:r>
          </w:p>
        </w:tc>
        <w:tc>
          <w:tcPr>
            <w:tcW w:w="6562" w:type="dxa"/>
            <w:vAlign w:val="top"/>
          </w:tcPr>
          <w:p>
            <w:pPr>
              <w:pStyle w:val="20"/>
              <w:rPr>
                <w:rFonts w:ascii="Times New Roman" w:hAnsi="Times New Roman" w:cs="Times New Roman"/>
                <w:sz w:val="24"/>
                <w:szCs w:val="20"/>
              </w:rPr>
            </w:pPr>
          </w:p>
        </w:tc>
      </w:tr>
    </w:tbl>
    <w:p>
      <w:pPr>
        <w:pStyle w:val="20"/>
        <w:spacing w:line="360" w:lineRule="auto"/>
        <w:rPr>
          <w:b/>
          <w:bCs/>
          <w:sz w:val="24"/>
          <w:szCs w:val="24"/>
        </w:rPr>
      </w:pPr>
      <w:r>
        <w:rPr>
          <w:b/>
          <w:bCs/>
          <w:sz w:val="24"/>
          <w:szCs w:val="24"/>
        </w:rPr>
        <w:t>注：1、本表一式三份，需单独密封，供唱价时用。</w:t>
      </w:r>
    </w:p>
    <w:p>
      <w:pPr>
        <w:pStyle w:val="20"/>
        <w:numPr>
          <w:ilvl w:val="0"/>
          <w:numId w:val="2"/>
        </w:numPr>
        <w:spacing w:line="360" w:lineRule="auto"/>
        <w:ind w:firstLine="482" w:firstLineChars="200"/>
        <w:rPr>
          <w:b/>
          <w:bCs/>
          <w:sz w:val="24"/>
          <w:szCs w:val="24"/>
        </w:rPr>
      </w:pPr>
      <w:r>
        <w:rPr>
          <w:b/>
          <w:bCs/>
          <w:sz w:val="24"/>
          <w:szCs w:val="24"/>
        </w:rPr>
        <w:t>投标文件中，本表应放在第一页（目录前）。</w:t>
      </w:r>
    </w:p>
    <w:p>
      <w:pPr>
        <w:pStyle w:val="20"/>
        <w:numPr>
          <w:ilvl w:val="0"/>
          <w:numId w:val="2"/>
        </w:numPr>
        <w:spacing w:line="360" w:lineRule="auto"/>
        <w:ind w:firstLine="482" w:firstLineChars="200"/>
        <w:rPr>
          <w:b/>
          <w:bCs/>
          <w:sz w:val="24"/>
          <w:szCs w:val="24"/>
        </w:rPr>
      </w:pPr>
      <w:r>
        <w:rPr>
          <w:rFonts w:hint="eastAsia"/>
          <w:b/>
          <w:bCs/>
          <w:sz w:val="24"/>
          <w:szCs w:val="24"/>
        </w:rPr>
        <w:t>后附报价明细表</w:t>
      </w:r>
    </w:p>
    <w:p>
      <w:pPr>
        <w:pStyle w:val="20"/>
        <w:numPr>
          <w:ilvl w:val="0"/>
          <w:numId w:val="2"/>
        </w:numPr>
        <w:spacing w:line="360" w:lineRule="auto"/>
        <w:ind w:firstLine="482" w:firstLineChars="200"/>
        <w:rPr>
          <w:b/>
          <w:bCs/>
          <w:sz w:val="24"/>
          <w:szCs w:val="24"/>
        </w:rPr>
      </w:pPr>
      <w:r>
        <w:rPr>
          <w:rFonts w:hint="eastAsia"/>
          <w:b/>
          <w:bCs/>
          <w:sz w:val="24"/>
          <w:szCs w:val="24"/>
        </w:rPr>
        <w:t>报价方式：百分比报价，最高不得超过</w:t>
      </w:r>
      <w:r>
        <w:rPr>
          <w:rFonts w:hint="eastAsia"/>
          <w:b/>
          <w:bCs/>
          <w:sz w:val="24"/>
          <w:szCs w:val="24"/>
          <w:lang w:val="en-US"/>
        </w:rPr>
        <w:t>50%，否则按废标处理。</w:t>
      </w:r>
    </w:p>
    <w:p>
      <w:pPr>
        <w:pStyle w:val="8"/>
        <w:tabs>
          <w:tab w:val="left" w:pos="5131"/>
        </w:tabs>
        <w:spacing w:line="480" w:lineRule="exact"/>
        <w:rPr>
          <w:b/>
          <w:bCs/>
        </w:rPr>
      </w:pPr>
    </w:p>
    <w:p>
      <w:pPr>
        <w:pStyle w:val="8"/>
        <w:tabs>
          <w:tab w:val="left" w:pos="5131"/>
        </w:tabs>
        <w:spacing w:line="480" w:lineRule="exact"/>
        <w:rPr>
          <w:b/>
          <w:bCs/>
        </w:rPr>
      </w:pPr>
      <w:r>
        <w:rPr>
          <w:rFonts w:hint="eastAsia"/>
          <w:b/>
          <w:bCs/>
        </w:rPr>
        <w:t>投标人名称（公章）：</w:t>
      </w:r>
      <w:r>
        <w:rPr>
          <w:rFonts w:hint="eastAsia"/>
          <w:b/>
          <w:bCs/>
        </w:rPr>
        <w:tab/>
      </w:r>
    </w:p>
    <w:p>
      <w:pPr>
        <w:pStyle w:val="8"/>
        <w:tabs>
          <w:tab w:val="left" w:pos="5131"/>
        </w:tabs>
        <w:spacing w:line="480" w:lineRule="exact"/>
        <w:rPr>
          <w:rFonts w:ascii="黑体"/>
          <w:sz w:val="20"/>
        </w:rPr>
      </w:pPr>
      <w:r>
        <w:rPr>
          <w:rFonts w:hint="eastAsia"/>
          <w:b/>
          <w:bCs/>
        </w:rPr>
        <w:t>法定代表人或授权代理人签字：</w:t>
      </w:r>
    </w:p>
    <w:p>
      <w:pPr>
        <w:pStyle w:val="21"/>
        <w:tabs>
          <w:tab w:val="left" w:pos="2131"/>
          <w:tab w:val="left" w:pos="2132"/>
        </w:tabs>
        <w:spacing w:before="192" w:line="480" w:lineRule="exact"/>
        <w:ind w:left="0" w:firstLine="0"/>
        <w:jc w:val="right"/>
        <w:rPr>
          <w:sz w:val="24"/>
          <w:szCs w:val="24"/>
        </w:rPr>
      </w:pPr>
      <w:r>
        <w:rPr>
          <w:rFonts w:hint="eastAsia"/>
          <w:sz w:val="24"/>
          <w:szCs w:val="24"/>
        </w:rPr>
        <w:t>年  月  日</w:t>
      </w:r>
      <w:r>
        <w:rPr>
          <w:rFonts w:hint="eastAsia"/>
          <w:sz w:val="24"/>
          <w:szCs w:val="24"/>
        </w:rPr>
        <w:br w:type="page"/>
      </w:r>
    </w:p>
    <w:p>
      <w:pPr>
        <w:pStyle w:val="3"/>
        <w:spacing w:before="42"/>
        <w:ind w:left="0"/>
        <w:jc w:val="center"/>
        <w:rPr>
          <w:sz w:val="20"/>
        </w:rPr>
      </w:pPr>
      <w:bookmarkStart w:id="54" w:name="_Toc2347_WPSOffice_Level1"/>
      <w:r>
        <w:t>附件四：投标人企业概况表</w:t>
      </w:r>
      <w:bookmarkEnd w:id="54"/>
    </w:p>
    <w:p>
      <w:pPr>
        <w:pStyle w:val="8"/>
        <w:spacing w:before="6" w:after="1"/>
        <w:rPr>
          <w:b/>
          <w:sz w:val="15"/>
        </w:rPr>
      </w:pPr>
    </w:p>
    <w:tbl>
      <w:tblPr>
        <w:tblStyle w:val="18"/>
        <w:tblW w:w="9090" w:type="dxa"/>
        <w:jc w:val="center"/>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1252"/>
        <w:gridCol w:w="1016"/>
        <w:gridCol w:w="2067"/>
        <w:gridCol w:w="1417"/>
        <w:gridCol w:w="33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30" w:hRule="atLeast"/>
          <w:jc w:val="center"/>
        </w:trPr>
        <w:tc>
          <w:tcPr>
            <w:tcW w:w="1252" w:type="dxa"/>
            <w:vAlign w:val="center"/>
          </w:tcPr>
          <w:p>
            <w:pPr>
              <w:pStyle w:val="20"/>
              <w:spacing w:before="212"/>
              <w:jc w:val="center"/>
              <w:rPr>
                <w:rFonts w:ascii="Times New Roman" w:hAnsi="Times New Roman" w:cs="Times New Roman"/>
                <w:sz w:val="24"/>
                <w:szCs w:val="20"/>
              </w:rPr>
            </w:pPr>
            <w:r>
              <w:rPr>
                <w:rFonts w:ascii="Times New Roman" w:hAnsi="Times New Roman" w:cs="Times New Roman"/>
                <w:sz w:val="24"/>
                <w:szCs w:val="20"/>
              </w:rPr>
              <w:t>投标人</w:t>
            </w:r>
          </w:p>
        </w:tc>
        <w:tc>
          <w:tcPr>
            <w:tcW w:w="3083" w:type="dxa"/>
            <w:gridSpan w:val="2"/>
            <w:vAlign w:val="center"/>
          </w:tcPr>
          <w:p>
            <w:pPr>
              <w:pStyle w:val="20"/>
              <w:jc w:val="center"/>
              <w:rPr>
                <w:rFonts w:ascii="Times New Roman" w:hAnsi="Times New Roman" w:cs="Times New Roman"/>
                <w:sz w:val="24"/>
                <w:szCs w:val="20"/>
              </w:rPr>
            </w:pPr>
          </w:p>
        </w:tc>
        <w:tc>
          <w:tcPr>
            <w:tcW w:w="1417" w:type="dxa"/>
            <w:vAlign w:val="center"/>
          </w:tcPr>
          <w:p>
            <w:pPr>
              <w:pStyle w:val="20"/>
              <w:spacing w:before="212"/>
              <w:jc w:val="center"/>
              <w:rPr>
                <w:rFonts w:ascii="Times New Roman" w:hAnsi="Times New Roman" w:cs="Times New Roman"/>
                <w:sz w:val="24"/>
                <w:szCs w:val="20"/>
              </w:rPr>
            </w:pPr>
            <w:r>
              <w:rPr>
                <w:rFonts w:ascii="Times New Roman" w:hAnsi="Times New Roman" w:cs="Times New Roman"/>
                <w:sz w:val="24"/>
                <w:szCs w:val="20"/>
              </w:rPr>
              <w:t>营业执照</w:t>
            </w:r>
          </w:p>
        </w:tc>
        <w:tc>
          <w:tcPr>
            <w:tcW w:w="3338" w:type="dxa"/>
            <w:vAlign w:val="center"/>
          </w:tcPr>
          <w:p>
            <w:pPr>
              <w:pStyle w:val="20"/>
              <w:jc w:val="center"/>
              <w:rPr>
                <w:rFonts w:ascii="Times New Roman" w:hAnsi="Times New Roman" w:cs="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30" w:hRule="atLeast"/>
          <w:jc w:val="center"/>
        </w:trPr>
        <w:tc>
          <w:tcPr>
            <w:tcW w:w="1252" w:type="dxa"/>
            <w:vAlign w:val="center"/>
          </w:tcPr>
          <w:p>
            <w:pPr>
              <w:pStyle w:val="20"/>
              <w:spacing w:before="211"/>
              <w:jc w:val="center"/>
              <w:rPr>
                <w:rFonts w:ascii="Times New Roman" w:hAnsi="Times New Roman" w:cs="Times New Roman"/>
                <w:sz w:val="24"/>
                <w:szCs w:val="20"/>
              </w:rPr>
            </w:pPr>
            <w:r>
              <w:rPr>
                <w:rFonts w:ascii="Times New Roman" w:hAnsi="Times New Roman" w:cs="Times New Roman"/>
                <w:sz w:val="24"/>
                <w:szCs w:val="20"/>
              </w:rPr>
              <w:t>注册地址</w:t>
            </w:r>
          </w:p>
        </w:tc>
        <w:tc>
          <w:tcPr>
            <w:tcW w:w="3083" w:type="dxa"/>
            <w:gridSpan w:val="2"/>
            <w:vAlign w:val="center"/>
          </w:tcPr>
          <w:p>
            <w:pPr>
              <w:pStyle w:val="20"/>
              <w:jc w:val="center"/>
              <w:rPr>
                <w:rFonts w:ascii="Times New Roman" w:hAnsi="Times New Roman" w:cs="Times New Roman"/>
                <w:sz w:val="24"/>
                <w:szCs w:val="20"/>
              </w:rPr>
            </w:pPr>
          </w:p>
        </w:tc>
        <w:tc>
          <w:tcPr>
            <w:tcW w:w="1417" w:type="dxa"/>
            <w:vAlign w:val="center"/>
          </w:tcPr>
          <w:p>
            <w:pPr>
              <w:pStyle w:val="20"/>
              <w:spacing w:before="211"/>
              <w:jc w:val="center"/>
              <w:rPr>
                <w:rFonts w:ascii="Times New Roman" w:hAnsi="Times New Roman" w:cs="Times New Roman"/>
                <w:sz w:val="24"/>
                <w:szCs w:val="20"/>
              </w:rPr>
            </w:pPr>
            <w:r>
              <w:rPr>
                <w:rFonts w:ascii="Times New Roman" w:hAnsi="Times New Roman" w:cs="Times New Roman"/>
                <w:sz w:val="24"/>
                <w:szCs w:val="20"/>
              </w:rPr>
              <w:t>注册资金</w:t>
            </w:r>
          </w:p>
        </w:tc>
        <w:tc>
          <w:tcPr>
            <w:tcW w:w="3338" w:type="dxa"/>
            <w:vAlign w:val="center"/>
          </w:tcPr>
          <w:p>
            <w:pPr>
              <w:pStyle w:val="20"/>
              <w:jc w:val="center"/>
              <w:rPr>
                <w:rFonts w:ascii="Times New Roman" w:hAnsi="Times New Roman" w:cs="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30" w:hRule="atLeast"/>
          <w:jc w:val="center"/>
        </w:trPr>
        <w:tc>
          <w:tcPr>
            <w:tcW w:w="1252" w:type="dxa"/>
            <w:vAlign w:val="center"/>
          </w:tcPr>
          <w:p>
            <w:pPr>
              <w:pStyle w:val="20"/>
              <w:spacing w:before="212"/>
              <w:jc w:val="center"/>
              <w:rPr>
                <w:rFonts w:ascii="Times New Roman" w:hAnsi="Times New Roman" w:cs="Times New Roman"/>
                <w:sz w:val="24"/>
                <w:szCs w:val="20"/>
              </w:rPr>
            </w:pPr>
            <w:r>
              <w:rPr>
                <w:rFonts w:ascii="Times New Roman" w:hAnsi="Times New Roman" w:cs="Times New Roman"/>
                <w:sz w:val="24"/>
                <w:szCs w:val="20"/>
              </w:rPr>
              <w:t>注册时间</w:t>
            </w:r>
          </w:p>
        </w:tc>
        <w:tc>
          <w:tcPr>
            <w:tcW w:w="3083" w:type="dxa"/>
            <w:gridSpan w:val="2"/>
            <w:vAlign w:val="center"/>
          </w:tcPr>
          <w:p>
            <w:pPr>
              <w:pStyle w:val="20"/>
              <w:jc w:val="center"/>
              <w:rPr>
                <w:rFonts w:ascii="Times New Roman" w:hAnsi="Times New Roman" w:cs="Times New Roman"/>
                <w:sz w:val="24"/>
                <w:szCs w:val="20"/>
              </w:rPr>
            </w:pPr>
          </w:p>
        </w:tc>
        <w:tc>
          <w:tcPr>
            <w:tcW w:w="1417" w:type="dxa"/>
            <w:vAlign w:val="center"/>
          </w:tcPr>
          <w:p>
            <w:pPr>
              <w:pStyle w:val="20"/>
              <w:spacing w:before="212"/>
              <w:jc w:val="center"/>
              <w:rPr>
                <w:rFonts w:ascii="Times New Roman" w:hAnsi="Times New Roman" w:cs="Times New Roman"/>
                <w:sz w:val="24"/>
                <w:szCs w:val="20"/>
              </w:rPr>
            </w:pPr>
            <w:r>
              <w:rPr>
                <w:rFonts w:ascii="Times New Roman" w:hAnsi="Times New Roman" w:cs="Times New Roman"/>
                <w:sz w:val="24"/>
                <w:szCs w:val="20"/>
              </w:rPr>
              <w:t>法定代表人</w:t>
            </w:r>
          </w:p>
        </w:tc>
        <w:tc>
          <w:tcPr>
            <w:tcW w:w="3338" w:type="dxa"/>
            <w:vAlign w:val="center"/>
          </w:tcPr>
          <w:p>
            <w:pPr>
              <w:pStyle w:val="20"/>
              <w:jc w:val="center"/>
              <w:rPr>
                <w:rFonts w:ascii="Times New Roman" w:hAnsi="Times New Roman" w:cs="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98" w:hRule="atLeast"/>
          <w:jc w:val="center"/>
        </w:trPr>
        <w:tc>
          <w:tcPr>
            <w:tcW w:w="1252" w:type="dxa"/>
            <w:vAlign w:val="center"/>
          </w:tcPr>
          <w:p>
            <w:pPr>
              <w:pStyle w:val="20"/>
              <w:spacing w:before="195"/>
              <w:jc w:val="center"/>
              <w:rPr>
                <w:rFonts w:ascii="Times New Roman" w:hAnsi="Times New Roman" w:cs="Times New Roman"/>
                <w:sz w:val="24"/>
                <w:szCs w:val="20"/>
              </w:rPr>
            </w:pPr>
            <w:r>
              <w:rPr>
                <w:rFonts w:ascii="Times New Roman" w:hAnsi="Times New Roman" w:cs="Times New Roman"/>
                <w:sz w:val="24"/>
                <w:szCs w:val="20"/>
              </w:rPr>
              <w:t>资质等级</w:t>
            </w:r>
          </w:p>
        </w:tc>
        <w:tc>
          <w:tcPr>
            <w:tcW w:w="3083" w:type="dxa"/>
            <w:gridSpan w:val="2"/>
            <w:vAlign w:val="center"/>
          </w:tcPr>
          <w:p>
            <w:pPr>
              <w:pStyle w:val="20"/>
              <w:jc w:val="center"/>
              <w:rPr>
                <w:rFonts w:ascii="Times New Roman" w:hAnsi="Times New Roman" w:cs="Times New Roman"/>
                <w:sz w:val="24"/>
                <w:szCs w:val="20"/>
              </w:rPr>
            </w:pPr>
          </w:p>
        </w:tc>
        <w:tc>
          <w:tcPr>
            <w:tcW w:w="1417" w:type="dxa"/>
            <w:vAlign w:val="center"/>
          </w:tcPr>
          <w:p>
            <w:pPr>
              <w:pStyle w:val="20"/>
              <w:spacing w:before="195"/>
              <w:jc w:val="center"/>
              <w:rPr>
                <w:rFonts w:ascii="Times New Roman" w:hAnsi="Times New Roman" w:cs="Times New Roman"/>
                <w:sz w:val="24"/>
                <w:szCs w:val="20"/>
              </w:rPr>
            </w:pPr>
            <w:r>
              <w:rPr>
                <w:rFonts w:ascii="Times New Roman" w:hAnsi="Times New Roman" w:cs="Times New Roman"/>
                <w:sz w:val="24"/>
                <w:szCs w:val="20"/>
              </w:rPr>
              <w:t>企业性质</w:t>
            </w:r>
          </w:p>
        </w:tc>
        <w:tc>
          <w:tcPr>
            <w:tcW w:w="3338" w:type="dxa"/>
            <w:vAlign w:val="center"/>
          </w:tcPr>
          <w:p>
            <w:pPr>
              <w:pStyle w:val="20"/>
              <w:jc w:val="center"/>
              <w:rPr>
                <w:rFonts w:ascii="Times New Roman" w:hAnsi="Times New Roman" w:cs="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591" w:hRule="atLeast"/>
          <w:jc w:val="center"/>
        </w:trPr>
        <w:tc>
          <w:tcPr>
            <w:tcW w:w="1252" w:type="dxa"/>
            <w:vAlign w:val="center"/>
          </w:tcPr>
          <w:p>
            <w:pPr>
              <w:pStyle w:val="20"/>
              <w:spacing w:before="142"/>
              <w:jc w:val="center"/>
              <w:rPr>
                <w:rFonts w:ascii="Times New Roman" w:hAnsi="Times New Roman" w:cs="Times New Roman"/>
                <w:sz w:val="24"/>
                <w:szCs w:val="20"/>
              </w:rPr>
            </w:pPr>
            <w:r>
              <w:rPr>
                <w:rFonts w:ascii="Times New Roman" w:hAnsi="Times New Roman" w:cs="Times New Roman"/>
                <w:sz w:val="24"/>
                <w:szCs w:val="20"/>
              </w:rPr>
              <w:t>批准单位</w:t>
            </w:r>
          </w:p>
        </w:tc>
        <w:tc>
          <w:tcPr>
            <w:tcW w:w="3083" w:type="dxa"/>
            <w:gridSpan w:val="2"/>
            <w:vAlign w:val="center"/>
          </w:tcPr>
          <w:p>
            <w:pPr>
              <w:pStyle w:val="20"/>
              <w:jc w:val="center"/>
              <w:rPr>
                <w:rFonts w:ascii="Times New Roman" w:hAnsi="Times New Roman" w:cs="Times New Roman"/>
                <w:sz w:val="24"/>
                <w:szCs w:val="20"/>
              </w:rPr>
            </w:pPr>
          </w:p>
        </w:tc>
        <w:tc>
          <w:tcPr>
            <w:tcW w:w="1417" w:type="dxa"/>
            <w:vAlign w:val="center"/>
          </w:tcPr>
          <w:p>
            <w:pPr>
              <w:pStyle w:val="20"/>
              <w:spacing w:before="142"/>
              <w:jc w:val="center"/>
              <w:rPr>
                <w:rFonts w:ascii="Times New Roman" w:hAnsi="Times New Roman" w:cs="Times New Roman"/>
                <w:sz w:val="24"/>
                <w:szCs w:val="20"/>
              </w:rPr>
            </w:pPr>
            <w:r>
              <w:rPr>
                <w:rFonts w:ascii="Times New Roman" w:hAnsi="Times New Roman" w:cs="Times New Roman"/>
                <w:sz w:val="24"/>
                <w:szCs w:val="20"/>
              </w:rPr>
              <w:t>经营方式</w:t>
            </w:r>
          </w:p>
        </w:tc>
        <w:tc>
          <w:tcPr>
            <w:tcW w:w="3338" w:type="dxa"/>
            <w:vAlign w:val="center"/>
          </w:tcPr>
          <w:p>
            <w:pPr>
              <w:pStyle w:val="20"/>
              <w:jc w:val="center"/>
              <w:rPr>
                <w:rFonts w:ascii="Times New Roman" w:hAnsi="Times New Roman" w:cs="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2510" w:hRule="atLeast"/>
          <w:jc w:val="center"/>
        </w:trPr>
        <w:tc>
          <w:tcPr>
            <w:tcW w:w="1252" w:type="dxa"/>
            <w:vAlign w:val="center"/>
          </w:tcPr>
          <w:p>
            <w:pPr>
              <w:pStyle w:val="20"/>
              <w:spacing w:before="180"/>
              <w:jc w:val="center"/>
              <w:rPr>
                <w:rFonts w:ascii="Times New Roman" w:hAnsi="Times New Roman" w:cs="Times New Roman"/>
                <w:sz w:val="24"/>
                <w:szCs w:val="20"/>
              </w:rPr>
            </w:pPr>
            <w:r>
              <w:rPr>
                <w:rFonts w:ascii="Times New Roman" w:hAnsi="Times New Roman" w:cs="Times New Roman"/>
                <w:sz w:val="24"/>
                <w:szCs w:val="20"/>
              </w:rPr>
              <w:t>职工人数</w:t>
            </w:r>
          </w:p>
        </w:tc>
        <w:tc>
          <w:tcPr>
            <w:tcW w:w="1016" w:type="dxa"/>
            <w:vAlign w:val="center"/>
          </w:tcPr>
          <w:p>
            <w:pPr>
              <w:pStyle w:val="20"/>
              <w:spacing w:before="66"/>
              <w:jc w:val="center"/>
              <w:rPr>
                <w:rFonts w:ascii="Times New Roman" w:hAnsi="Times New Roman" w:cs="Times New Roman"/>
                <w:sz w:val="24"/>
                <w:szCs w:val="20"/>
              </w:rPr>
            </w:pPr>
            <w:r>
              <w:rPr>
                <w:rFonts w:ascii="Times New Roman" w:hAnsi="Times New Roman" w:cs="Times New Roman"/>
                <w:sz w:val="24"/>
                <w:szCs w:val="20"/>
              </w:rPr>
              <w:t>总人数：</w:t>
            </w:r>
          </w:p>
        </w:tc>
        <w:tc>
          <w:tcPr>
            <w:tcW w:w="3484" w:type="dxa"/>
            <w:gridSpan w:val="2"/>
            <w:vAlign w:val="center"/>
          </w:tcPr>
          <w:p>
            <w:pPr>
              <w:pStyle w:val="20"/>
              <w:spacing w:line="360" w:lineRule="auto"/>
              <w:ind w:firstLine="240" w:firstLineChars="100"/>
              <w:jc w:val="both"/>
              <w:rPr>
                <w:rFonts w:ascii="Times New Roman" w:hAnsi="Times New Roman" w:cs="Times New Roman"/>
                <w:sz w:val="24"/>
                <w:szCs w:val="20"/>
              </w:rPr>
            </w:pPr>
            <w:r>
              <w:rPr>
                <w:rFonts w:ascii="Times New Roman" w:hAnsi="Times New Roman" w:cs="Times New Roman"/>
                <w:sz w:val="24"/>
                <w:szCs w:val="20"/>
              </w:rPr>
              <w:t>有职称的管理人员：</w:t>
            </w:r>
          </w:p>
          <w:p>
            <w:pPr>
              <w:pStyle w:val="20"/>
              <w:spacing w:line="360" w:lineRule="auto"/>
              <w:ind w:firstLine="240" w:firstLineChars="100"/>
              <w:jc w:val="both"/>
              <w:rPr>
                <w:rFonts w:ascii="Times New Roman" w:hAnsi="Times New Roman" w:cs="Times New Roman"/>
                <w:sz w:val="24"/>
                <w:szCs w:val="20"/>
              </w:rPr>
            </w:pPr>
            <w:r>
              <w:rPr>
                <w:rFonts w:ascii="Times New Roman" w:hAnsi="Times New Roman" w:cs="Times New Roman"/>
                <w:sz w:val="24"/>
                <w:szCs w:val="20"/>
              </w:rPr>
              <w:t>其中：</w:t>
            </w:r>
          </w:p>
          <w:p>
            <w:pPr>
              <w:pStyle w:val="20"/>
              <w:spacing w:line="360" w:lineRule="auto"/>
              <w:ind w:firstLine="240" w:firstLineChars="100"/>
              <w:jc w:val="both"/>
              <w:rPr>
                <w:rFonts w:ascii="Times New Roman" w:hAnsi="Times New Roman" w:cs="Times New Roman"/>
                <w:spacing w:val="-17"/>
                <w:sz w:val="24"/>
                <w:szCs w:val="20"/>
              </w:rPr>
            </w:pPr>
            <w:r>
              <w:rPr>
                <w:rFonts w:ascii="Times New Roman" w:hAnsi="Times New Roman" w:cs="Times New Roman"/>
                <w:sz w:val="24"/>
                <w:szCs w:val="20"/>
              </w:rPr>
              <w:t>高工</w:t>
            </w:r>
            <w:r>
              <w:rPr>
                <w:rFonts w:ascii="Times New Roman" w:hAnsi="Times New Roman" w:cs="Times New Roman"/>
                <w:spacing w:val="-17"/>
                <w:sz w:val="24"/>
                <w:szCs w:val="20"/>
              </w:rPr>
              <w:t>：</w:t>
            </w:r>
          </w:p>
          <w:p>
            <w:pPr>
              <w:pStyle w:val="20"/>
              <w:spacing w:line="360" w:lineRule="auto"/>
              <w:ind w:firstLine="240" w:firstLineChars="100"/>
              <w:jc w:val="both"/>
              <w:rPr>
                <w:rFonts w:ascii="Times New Roman" w:hAnsi="Times New Roman" w:cs="Times New Roman"/>
                <w:sz w:val="24"/>
                <w:szCs w:val="20"/>
              </w:rPr>
            </w:pPr>
            <w:r>
              <w:rPr>
                <w:rFonts w:ascii="Times New Roman" w:hAnsi="Times New Roman" w:cs="Times New Roman"/>
                <w:sz w:val="24"/>
                <w:szCs w:val="20"/>
              </w:rPr>
              <w:t>助工：</w:t>
            </w:r>
          </w:p>
          <w:p>
            <w:pPr>
              <w:pStyle w:val="20"/>
              <w:spacing w:line="360" w:lineRule="auto"/>
              <w:ind w:firstLine="240" w:firstLineChars="100"/>
              <w:jc w:val="both"/>
              <w:rPr>
                <w:rFonts w:ascii="Times New Roman" w:hAnsi="Times New Roman" w:cs="Times New Roman"/>
                <w:sz w:val="24"/>
                <w:szCs w:val="20"/>
              </w:rPr>
            </w:pPr>
            <w:r>
              <w:rPr>
                <w:rFonts w:ascii="Times New Roman" w:hAnsi="Times New Roman" w:cs="Times New Roman"/>
                <w:sz w:val="24"/>
                <w:szCs w:val="20"/>
              </w:rPr>
              <w:t>技术员：</w:t>
            </w:r>
          </w:p>
        </w:tc>
        <w:tc>
          <w:tcPr>
            <w:tcW w:w="3338" w:type="dxa"/>
            <w:vAlign w:val="center"/>
          </w:tcPr>
          <w:p>
            <w:pPr>
              <w:pStyle w:val="20"/>
              <w:jc w:val="center"/>
              <w:rPr>
                <w:rFonts w:ascii="Times New Roman" w:hAnsi="Times New Roman" w:cs="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3744" w:hRule="atLeast"/>
          <w:jc w:val="center"/>
        </w:trPr>
        <w:tc>
          <w:tcPr>
            <w:tcW w:w="1252" w:type="dxa"/>
            <w:vAlign w:val="center"/>
          </w:tcPr>
          <w:p>
            <w:pPr>
              <w:pStyle w:val="20"/>
              <w:jc w:val="center"/>
              <w:rPr>
                <w:rFonts w:ascii="Times New Roman" w:hAnsi="Times New Roman" w:cs="Times New Roman"/>
                <w:sz w:val="24"/>
                <w:szCs w:val="20"/>
              </w:rPr>
            </w:pPr>
            <w:r>
              <w:rPr>
                <w:rFonts w:ascii="Times New Roman" w:hAnsi="Times New Roman" w:cs="Times New Roman"/>
                <w:sz w:val="24"/>
                <w:szCs w:val="20"/>
              </w:rPr>
              <w:t>主要业绩</w:t>
            </w:r>
          </w:p>
        </w:tc>
        <w:tc>
          <w:tcPr>
            <w:tcW w:w="7838" w:type="dxa"/>
            <w:gridSpan w:val="4"/>
            <w:vAlign w:val="center"/>
          </w:tcPr>
          <w:p>
            <w:pPr>
              <w:pStyle w:val="20"/>
              <w:jc w:val="center"/>
              <w:rPr>
                <w:rFonts w:ascii="Times New Roman" w:hAnsi="Times New Roman" w:cs="Times New Roman"/>
                <w:sz w:val="24"/>
                <w:szCs w:val="20"/>
              </w:rPr>
            </w:pPr>
          </w:p>
        </w:tc>
      </w:tr>
    </w:tbl>
    <w:p>
      <w:pPr>
        <w:pStyle w:val="8"/>
        <w:spacing w:before="66"/>
      </w:pPr>
      <w:r>
        <w:t>注：本表不够填写可另附表格。</w:t>
      </w:r>
    </w:p>
    <w:p>
      <w:pPr>
        <w:pStyle w:val="21"/>
        <w:tabs>
          <w:tab w:val="left" w:pos="2011"/>
          <w:tab w:val="left" w:pos="2012"/>
        </w:tabs>
        <w:spacing w:line="480" w:lineRule="exact"/>
        <w:ind w:left="11" w:hanging="11" w:hangingChars="5"/>
        <w:rPr>
          <w:b/>
          <w:bCs/>
          <w:spacing w:val="-7"/>
          <w:sz w:val="24"/>
          <w:lang w:val="en-US"/>
        </w:rPr>
      </w:pPr>
      <w:r>
        <w:rPr>
          <w:rFonts w:hint="eastAsia"/>
          <w:b/>
          <w:bCs/>
          <w:spacing w:val="-7"/>
          <w:sz w:val="24"/>
          <w:lang w:val="en-US"/>
        </w:rPr>
        <w:br w:type="page"/>
      </w:r>
    </w:p>
    <w:p>
      <w:pPr>
        <w:pStyle w:val="3"/>
        <w:spacing w:before="42"/>
        <w:ind w:left="0"/>
        <w:jc w:val="center"/>
        <w:rPr>
          <w:sz w:val="20"/>
        </w:rPr>
      </w:pPr>
      <w:bookmarkStart w:id="55" w:name="_Toc8965_WPSOffice_Level1"/>
      <w:r>
        <w:t>附件五：拟投入项目人员一览表</w:t>
      </w:r>
      <w:bookmarkEnd w:id="55"/>
    </w:p>
    <w:p>
      <w:pPr>
        <w:pStyle w:val="8"/>
        <w:spacing w:before="6" w:after="1"/>
        <w:rPr>
          <w:b/>
          <w:sz w:val="15"/>
        </w:rPr>
      </w:pPr>
    </w:p>
    <w:tbl>
      <w:tblPr>
        <w:tblStyle w:val="18"/>
        <w:tblW w:w="10774" w:type="dxa"/>
        <w:jc w:val="center"/>
        <w:tblInd w:w="-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1217"/>
        <w:gridCol w:w="1050"/>
        <w:gridCol w:w="833"/>
        <w:gridCol w:w="1434"/>
        <w:gridCol w:w="750"/>
        <w:gridCol w:w="750"/>
        <w:gridCol w:w="1160"/>
        <w:gridCol w:w="1866"/>
        <w:gridCol w:w="1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797" w:hRule="atLeast"/>
          <w:jc w:val="center"/>
        </w:trPr>
        <w:tc>
          <w:tcPr>
            <w:tcW w:w="1217" w:type="dxa"/>
            <w:vAlign w:val="center"/>
          </w:tcPr>
          <w:p>
            <w:pPr>
              <w:pStyle w:val="20"/>
              <w:jc w:val="center"/>
              <w:rPr>
                <w:rFonts w:ascii="Times New Roman" w:hAnsi="Times New Roman" w:cs="Times New Roman"/>
                <w:sz w:val="24"/>
                <w:szCs w:val="20"/>
              </w:rPr>
            </w:pPr>
            <w:r>
              <w:rPr>
                <w:rFonts w:ascii="Times New Roman" w:hAnsi="Times New Roman" w:cs="Times New Roman"/>
                <w:sz w:val="24"/>
                <w:szCs w:val="20"/>
              </w:rPr>
              <w:t>姓名</w:t>
            </w:r>
          </w:p>
        </w:tc>
        <w:tc>
          <w:tcPr>
            <w:tcW w:w="1050" w:type="dxa"/>
            <w:vAlign w:val="center"/>
          </w:tcPr>
          <w:p>
            <w:pPr>
              <w:pStyle w:val="20"/>
              <w:jc w:val="center"/>
              <w:rPr>
                <w:rFonts w:ascii="Times New Roman" w:hAnsi="Times New Roman" w:cs="Times New Roman"/>
                <w:sz w:val="24"/>
                <w:szCs w:val="20"/>
              </w:rPr>
            </w:pPr>
            <w:r>
              <w:rPr>
                <w:rFonts w:ascii="Times New Roman" w:hAnsi="Times New Roman" w:cs="Times New Roman"/>
                <w:sz w:val="24"/>
                <w:szCs w:val="20"/>
              </w:rPr>
              <w:t>性别</w:t>
            </w:r>
          </w:p>
        </w:tc>
        <w:tc>
          <w:tcPr>
            <w:tcW w:w="833" w:type="dxa"/>
            <w:vAlign w:val="center"/>
          </w:tcPr>
          <w:p>
            <w:pPr>
              <w:pStyle w:val="20"/>
              <w:spacing w:line="339" w:lineRule="auto"/>
              <w:jc w:val="center"/>
              <w:rPr>
                <w:rFonts w:ascii="Times New Roman" w:hAnsi="Times New Roman" w:cs="Times New Roman"/>
                <w:sz w:val="24"/>
                <w:szCs w:val="20"/>
              </w:rPr>
            </w:pPr>
            <w:r>
              <w:rPr>
                <w:rFonts w:ascii="Times New Roman" w:hAnsi="Times New Roman" w:cs="Times New Roman"/>
                <w:sz w:val="24"/>
                <w:szCs w:val="20"/>
              </w:rPr>
              <w:t>年龄</w:t>
            </w:r>
          </w:p>
        </w:tc>
        <w:tc>
          <w:tcPr>
            <w:tcW w:w="1434" w:type="dxa"/>
            <w:vAlign w:val="center"/>
          </w:tcPr>
          <w:p>
            <w:pPr>
              <w:pStyle w:val="20"/>
              <w:spacing w:line="339" w:lineRule="auto"/>
              <w:jc w:val="center"/>
              <w:rPr>
                <w:rFonts w:ascii="Times New Roman" w:hAnsi="Times New Roman" w:cs="Times New Roman"/>
                <w:sz w:val="24"/>
                <w:szCs w:val="20"/>
              </w:rPr>
            </w:pPr>
            <w:r>
              <w:rPr>
                <w:rFonts w:ascii="Times New Roman" w:hAnsi="Times New Roman" w:cs="Times New Roman"/>
                <w:sz w:val="24"/>
                <w:szCs w:val="20"/>
              </w:rPr>
              <w:t>拟在本项目任职</w:t>
            </w:r>
          </w:p>
        </w:tc>
        <w:tc>
          <w:tcPr>
            <w:tcW w:w="750" w:type="dxa"/>
            <w:vAlign w:val="center"/>
          </w:tcPr>
          <w:p>
            <w:pPr>
              <w:pStyle w:val="20"/>
              <w:spacing w:line="339" w:lineRule="auto"/>
              <w:jc w:val="center"/>
              <w:rPr>
                <w:rFonts w:ascii="Times New Roman" w:hAnsi="Times New Roman" w:cs="Times New Roman"/>
                <w:sz w:val="24"/>
                <w:szCs w:val="20"/>
              </w:rPr>
            </w:pPr>
            <w:r>
              <w:rPr>
                <w:rFonts w:ascii="Times New Roman" w:hAnsi="Times New Roman" w:cs="Times New Roman"/>
                <w:sz w:val="24"/>
                <w:szCs w:val="20"/>
              </w:rPr>
              <w:t>学历</w:t>
            </w:r>
          </w:p>
        </w:tc>
        <w:tc>
          <w:tcPr>
            <w:tcW w:w="750" w:type="dxa"/>
            <w:vAlign w:val="center"/>
          </w:tcPr>
          <w:p>
            <w:pPr>
              <w:pStyle w:val="20"/>
              <w:spacing w:line="339" w:lineRule="auto"/>
              <w:jc w:val="center"/>
              <w:rPr>
                <w:rFonts w:ascii="Times New Roman" w:hAnsi="Times New Roman" w:cs="Times New Roman"/>
                <w:sz w:val="24"/>
                <w:szCs w:val="20"/>
              </w:rPr>
            </w:pPr>
            <w:r>
              <w:rPr>
                <w:rFonts w:ascii="Times New Roman" w:hAnsi="Times New Roman" w:cs="Times New Roman"/>
                <w:sz w:val="24"/>
                <w:szCs w:val="20"/>
              </w:rPr>
              <w:t>专业</w:t>
            </w:r>
          </w:p>
        </w:tc>
        <w:tc>
          <w:tcPr>
            <w:tcW w:w="1160" w:type="dxa"/>
            <w:vAlign w:val="center"/>
          </w:tcPr>
          <w:p>
            <w:pPr>
              <w:pStyle w:val="20"/>
              <w:spacing w:line="339" w:lineRule="auto"/>
              <w:jc w:val="center"/>
              <w:rPr>
                <w:rFonts w:ascii="Times New Roman" w:hAnsi="Times New Roman" w:cs="Times New Roman"/>
                <w:sz w:val="24"/>
                <w:szCs w:val="20"/>
              </w:rPr>
            </w:pPr>
            <w:r>
              <w:rPr>
                <w:rFonts w:ascii="Times New Roman" w:hAnsi="Times New Roman" w:cs="Times New Roman"/>
                <w:sz w:val="24"/>
                <w:szCs w:val="20"/>
              </w:rPr>
              <w:t>职称</w:t>
            </w:r>
          </w:p>
        </w:tc>
        <w:tc>
          <w:tcPr>
            <w:tcW w:w="1866" w:type="dxa"/>
            <w:vAlign w:val="center"/>
          </w:tcPr>
          <w:p>
            <w:pPr>
              <w:pStyle w:val="20"/>
              <w:spacing w:line="339" w:lineRule="auto"/>
              <w:jc w:val="center"/>
              <w:rPr>
                <w:rFonts w:ascii="Times New Roman" w:hAnsi="Times New Roman" w:cs="Times New Roman"/>
                <w:sz w:val="24"/>
                <w:szCs w:val="20"/>
              </w:rPr>
            </w:pPr>
            <w:r>
              <w:rPr>
                <w:rFonts w:ascii="Times New Roman" w:hAnsi="Times New Roman" w:cs="Times New Roman"/>
                <w:sz w:val="24"/>
                <w:szCs w:val="20"/>
              </w:rPr>
              <w:t>注册或上岗证号</w:t>
            </w:r>
          </w:p>
        </w:tc>
        <w:tc>
          <w:tcPr>
            <w:tcW w:w="1714" w:type="dxa"/>
            <w:vAlign w:val="center"/>
          </w:tcPr>
          <w:p>
            <w:pPr>
              <w:pStyle w:val="20"/>
              <w:spacing w:line="339" w:lineRule="auto"/>
              <w:jc w:val="center"/>
              <w:rPr>
                <w:rFonts w:ascii="Times New Roman" w:hAnsi="Times New Roman" w:cs="Times New Roman"/>
                <w:sz w:val="24"/>
                <w:szCs w:val="20"/>
              </w:rPr>
            </w:pPr>
            <w:r>
              <w:rPr>
                <w:rFonts w:ascii="Times New Roman" w:hAnsi="Times New Roman" w:cs="Times New Roman"/>
                <w:sz w:val="24"/>
                <w:szCs w:val="20"/>
              </w:rPr>
              <w:t>从事本专业工作经历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540" w:hRule="atLeast"/>
          <w:jc w:val="center"/>
        </w:trPr>
        <w:tc>
          <w:tcPr>
            <w:tcW w:w="1217" w:type="dxa"/>
            <w:vAlign w:val="top"/>
          </w:tcPr>
          <w:p>
            <w:pPr>
              <w:pStyle w:val="20"/>
              <w:rPr>
                <w:rFonts w:ascii="Times New Roman" w:hAnsi="Times New Roman" w:cs="Times New Roman"/>
                <w:sz w:val="24"/>
                <w:szCs w:val="20"/>
              </w:rPr>
            </w:pPr>
          </w:p>
        </w:tc>
        <w:tc>
          <w:tcPr>
            <w:tcW w:w="1050" w:type="dxa"/>
            <w:vAlign w:val="top"/>
          </w:tcPr>
          <w:p>
            <w:pPr>
              <w:pStyle w:val="20"/>
              <w:rPr>
                <w:rFonts w:ascii="Times New Roman" w:hAnsi="Times New Roman" w:cs="Times New Roman"/>
                <w:sz w:val="24"/>
                <w:szCs w:val="20"/>
              </w:rPr>
            </w:pPr>
          </w:p>
        </w:tc>
        <w:tc>
          <w:tcPr>
            <w:tcW w:w="833" w:type="dxa"/>
            <w:vAlign w:val="top"/>
          </w:tcPr>
          <w:p>
            <w:pPr>
              <w:pStyle w:val="20"/>
              <w:rPr>
                <w:rFonts w:ascii="Times New Roman" w:hAnsi="Times New Roman" w:cs="Times New Roman"/>
                <w:sz w:val="24"/>
                <w:szCs w:val="20"/>
              </w:rPr>
            </w:pPr>
          </w:p>
        </w:tc>
        <w:tc>
          <w:tcPr>
            <w:tcW w:w="1434"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1160" w:type="dxa"/>
            <w:vAlign w:val="top"/>
          </w:tcPr>
          <w:p>
            <w:pPr>
              <w:pStyle w:val="20"/>
              <w:rPr>
                <w:rFonts w:ascii="Times New Roman" w:hAnsi="Times New Roman" w:cs="Times New Roman"/>
                <w:sz w:val="24"/>
                <w:szCs w:val="20"/>
              </w:rPr>
            </w:pPr>
          </w:p>
        </w:tc>
        <w:tc>
          <w:tcPr>
            <w:tcW w:w="1866" w:type="dxa"/>
            <w:vAlign w:val="top"/>
          </w:tcPr>
          <w:p>
            <w:pPr>
              <w:pStyle w:val="20"/>
              <w:rPr>
                <w:rFonts w:ascii="Times New Roman" w:hAnsi="Times New Roman" w:cs="Times New Roman"/>
                <w:sz w:val="24"/>
                <w:szCs w:val="20"/>
              </w:rPr>
            </w:pPr>
          </w:p>
        </w:tc>
        <w:tc>
          <w:tcPr>
            <w:tcW w:w="1714" w:type="dxa"/>
            <w:vAlign w:val="top"/>
          </w:tcPr>
          <w:p>
            <w:pPr>
              <w:pStyle w:val="20"/>
              <w:rPr>
                <w:rFonts w:ascii="Times New Roman" w:hAnsi="Times New Roman" w:cs="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540" w:hRule="atLeast"/>
          <w:jc w:val="center"/>
        </w:trPr>
        <w:tc>
          <w:tcPr>
            <w:tcW w:w="1217" w:type="dxa"/>
            <w:vAlign w:val="top"/>
          </w:tcPr>
          <w:p>
            <w:pPr>
              <w:pStyle w:val="20"/>
              <w:rPr>
                <w:rFonts w:ascii="Times New Roman" w:hAnsi="Times New Roman" w:cs="Times New Roman"/>
                <w:sz w:val="24"/>
                <w:szCs w:val="20"/>
              </w:rPr>
            </w:pPr>
          </w:p>
        </w:tc>
        <w:tc>
          <w:tcPr>
            <w:tcW w:w="1050" w:type="dxa"/>
            <w:vAlign w:val="top"/>
          </w:tcPr>
          <w:p>
            <w:pPr>
              <w:pStyle w:val="20"/>
              <w:rPr>
                <w:rFonts w:ascii="Times New Roman" w:hAnsi="Times New Roman" w:cs="Times New Roman"/>
                <w:sz w:val="24"/>
                <w:szCs w:val="20"/>
              </w:rPr>
            </w:pPr>
          </w:p>
        </w:tc>
        <w:tc>
          <w:tcPr>
            <w:tcW w:w="833" w:type="dxa"/>
            <w:vAlign w:val="top"/>
          </w:tcPr>
          <w:p>
            <w:pPr>
              <w:pStyle w:val="20"/>
              <w:rPr>
                <w:rFonts w:ascii="Times New Roman" w:hAnsi="Times New Roman" w:cs="Times New Roman"/>
                <w:sz w:val="24"/>
                <w:szCs w:val="20"/>
              </w:rPr>
            </w:pPr>
          </w:p>
        </w:tc>
        <w:tc>
          <w:tcPr>
            <w:tcW w:w="1434"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1160" w:type="dxa"/>
            <w:vAlign w:val="top"/>
          </w:tcPr>
          <w:p>
            <w:pPr>
              <w:pStyle w:val="20"/>
              <w:rPr>
                <w:rFonts w:ascii="Times New Roman" w:hAnsi="Times New Roman" w:cs="Times New Roman"/>
                <w:sz w:val="24"/>
                <w:szCs w:val="20"/>
              </w:rPr>
            </w:pPr>
          </w:p>
        </w:tc>
        <w:tc>
          <w:tcPr>
            <w:tcW w:w="1866" w:type="dxa"/>
            <w:vAlign w:val="top"/>
          </w:tcPr>
          <w:p>
            <w:pPr>
              <w:pStyle w:val="20"/>
              <w:rPr>
                <w:rFonts w:ascii="Times New Roman" w:hAnsi="Times New Roman" w:cs="Times New Roman"/>
                <w:sz w:val="24"/>
                <w:szCs w:val="20"/>
              </w:rPr>
            </w:pPr>
          </w:p>
        </w:tc>
        <w:tc>
          <w:tcPr>
            <w:tcW w:w="1714" w:type="dxa"/>
            <w:vAlign w:val="top"/>
          </w:tcPr>
          <w:p>
            <w:pPr>
              <w:pStyle w:val="20"/>
              <w:rPr>
                <w:rFonts w:ascii="Times New Roman" w:hAnsi="Times New Roman" w:cs="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540" w:hRule="atLeast"/>
          <w:jc w:val="center"/>
        </w:trPr>
        <w:tc>
          <w:tcPr>
            <w:tcW w:w="1217" w:type="dxa"/>
            <w:vAlign w:val="top"/>
          </w:tcPr>
          <w:p>
            <w:pPr>
              <w:pStyle w:val="20"/>
              <w:rPr>
                <w:rFonts w:ascii="Times New Roman" w:hAnsi="Times New Roman" w:cs="Times New Roman"/>
                <w:sz w:val="24"/>
                <w:szCs w:val="20"/>
              </w:rPr>
            </w:pPr>
          </w:p>
        </w:tc>
        <w:tc>
          <w:tcPr>
            <w:tcW w:w="1050" w:type="dxa"/>
            <w:vAlign w:val="top"/>
          </w:tcPr>
          <w:p>
            <w:pPr>
              <w:pStyle w:val="20"/>
              <w:rPr>
                <w:rFonts w:ascii="Times New Roman" w:hAnsi="Times New Roman" w:cs="Times New Roman"/>
                <w:sz w:val="24"/>
                <w:szCs w:val="20"/>
              </w:rPr>
            </w:pPr>
          </w:p>
        </w:tc>
        <w:tc>
          <w:tcPr>
            <w:tcW w:w="833" w:type="dxa"/>
            <w:vAlign w:val="top"/>
          </w:tcPr>
          <w:p>
            <w:pPr>
              <w:pStyle w:val="20"/>
              <w:rPr>
                <w:rFonts w:ascii="Times New Roman" w:hAnsi="Times New Roman" w:cs="Times New Roman"/>
                <w:sz w:val="24"/>
                <w:szCs w:val="20"/>
              </w:rPr>
            </w:pPr>
          </w:p>
        </w:tc>
        <w:tc>
          <w:tcPr>
            <w:tcW w:w="1434"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1160" w:type="dxa"/>
            <w:vAlign w:val="top"/>
          </w:tcPr>
          <w:p>
            <w:pPr>
              <w:pStyle w:val="20"/>
              <w:rPr>
                <w:rFonts w:ascii="Times New Roman" w:hAnsi="Times New Roman" w:cs="Times New Roman"/>
                <w:sz w:val="24"/>
                <w:szCs w:val="20"/>
              </w:rPr>
            </w:pPr>
          </w:p>
        </w:tc>
        <w:tc>
          <w:tcPr>
            <w:tcW w:w="1866" w:type="dxa"/>
            <w:vAlign w:val="top"/>
          </w:tcPr>
          <w:p>
            <w:pPr>
              <w:pStyle w:val="20"/>
              <w:rPr>
                <w:rFonts w:ascii="Times New Roman" w:hAnsi="Times New Roman" w:cs="Times New Roman"/>
                <w:sz w:val="24"/>
                <w:szCs w:val="20"/>
              </w:rPr>
            </w:pPr>
          </w:p>
        </w:tc>
        <w:tc>
          <w:tcPr>
            <w:tcW w:w="1714" w:type="dxa"/>
            <w:vAlign w:val="top"/>
          </w:tcPr>
          <w:p>
            <w:pPr>
              <w:pStyle w:val="20"/>
              <w:rPr>
                <w:rFonts w:ascii="Times New Roman" w:hAnsi="Times New Roman" w:cs="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540" w:hRule="atLeast"/>
          <w:jc w:val="center"/>
        </w:trPr>
        <w:tc>
          <w:tcPr>
            <w:tcW w:w="1217" w:type="dxa"/>
            <w:vAlign w:val="top"/>
          </w:tcPr>
          <w:p>
            <w:pPr>
              <w:pStyle w:val="20"/>
              <w:rPr>
                <w:rFonts w:ascii="Times New Roman" w:hAnsi="Times New Roman" w:cs="Times New Roman"/>
                <w:sz w:val="24"/>
                <w:szCs w:val="20"/>
              </w:rPr>
            </w:pPr>
          </w:p>
        </w:tc>
        <w:tc>
          <w:tcPr>
            <w:tcW w:w="1050" w:type="dxa"/>
            <w:vAlign w:val="top"/>
          </w:tcPr>
          <w:p>
            <w:pPr>
              <w:pStyle w:val="20"/>
              <w:rPr>
                <w:rFonts w:ascii="Times New Roman" w:hAnsi="Times New Roman" w:cs="Times New Roman"/>
                <w:sz w:val="24"/>
                <w:szCs w:val="20"/>
              </w:rPr>
            </w:pPr>
          </w:p>
        </w:tc>
        <w:tc>
          <w:tcPr>
            <w:tcW w:w="833" w:type="dxa"/>
            <w:vAlign w:val="top"/>
          </w:tcPr>
          <w:p>
            <w:pPr>
              <w:pStyle w:val="20"/>
              <w:rPr>
                <w:rFonts w:ascii="Times New Roman" w:hAnsi="Times New Roman" w:cs="Times New Roman"/>
                <w:sz w:val="24"/>
                <w:szCs w:val="20"/>
              </w:rPr>
            </w:pPr>
          </w:p>
        </w:tc>
        <w:tc>
          <w:tcPr>
            <w:tcW w:w="1434"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1160" w:type="dxa"/>
            <w:vAlign w:val="top"/>
          </w:tcPr>
          <w:p>
            <w:pPr>
              <w:pStyle w:val="20"/>
              <w:rPr>
                <w:rFonts w:ascii="Times New Roman" w:hAnsi="Times New Roman" w:cs="Times New Roman"/>
                <w:sz w:val="24"/>
                <w:szCs w:val="20"/>
              </w:rPr>
            </w:pPr>
          </w:p>
        </w:tc>
        <w:tc>
          <w:tcPr>
            <w:tcW w:w="1866" w:type="dxa"/>
            <w:vAlign w:val="top"/>
          </w:tcPr>
          <w:p>
            <w:pPr>
              <w:pStyle w:val="20"/>
              <w:rPr>
                <w:rFonts w:ascii="Times New Roman" w:hAnsi="Times New Roman" w:cs="Times New Roman"/>
                <w:sz w:val="24"/>
                <w:szCs w:val="20"/>
              </w:rPr>
            </w:pPr>
          </w:p>
        </w:tc>
        <w:tc>
          <w:tcPr>
            <w:tcW w:w="1714" w:type="dxa"/>
            <w:vAlign w:val="top"/>
          </w:tcPr>
          <w:p>
            <w:pPr>
              <w:pStyle w:val="20"/>
              <w:rPr>
                <w:rFonts w:ascii="Times New Roman" w:hAnsi="Times New Roman" w:cs="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540" w:hRule="atLeast"/>
          <w:jc w:val="center"/>
        </w:trPr>
        <w:tc>
          <w:tcPr>
            <w:tcW w:w="1217" w:type="dxa"/>
            <w:vAlign w:val="top"/>
          </w:tcPr>
          <w:p>
            <w:pPr>
              <w:pStyle w:val="20"/>
              <w:rPr>
                <w:rFonts w:ascii="Times New Roman" w:hAnsi="Times New Roman" w:cs="Times New Roman"/>
                <w:sz w:val="24"/>
                <w:szCs w:val="20"/>
              </w:rPr>
            </w:pPr>
          </w:p>
        </w:tc>
        <w:tc>
          <w:tcPr>
            <w:tcW w:w="1050" w:type="dxa"/>
            <w:vAlign w:val="top"/>
          </w:tcPr>
          <w:p>
            <w:pPr>
              <w:pStyle w:val="20"/>
              <w:rPr>
                <w:rFonts w:ascii="Times New Roman" w:hAnsi="Times New Roman" w:cs="Times New Roman"/>
                <w:sz w:val="24"/>
                <w:szCs w:val="20"/>
              </w:rPr>
            </w:pPr>
          </w:p>
        </w:tc>
        <w:tc>
          <w:tcPr>
            <w:tcW w:w="833" w:type="dxa"/>
            <w:vAlign w:val="top"/>
          </w:tcPr>
          <w:p>
            <w:pPr>
              <w:pStyle w:val="20"/>
              <w:rPr>
                <w:rFonts w:ascii="Times New Roman" w:hAnsi="Times New Roman" w:cs="Times New Roman"/>
                <w:sz w:val="24"/>
                <w:szCs w:val="20"/>
              </w:rPr>
            </w:pPr>
          </w:p>
        </w:tc>
        <w:tc>
          <w:tcPr>
            <w:tcW w:w="1434"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1160" w:type="dxa"/>
            <w:vAlign w:val="top"/>
          </w:tcPr>
          <w:p>
            <w:pPr>
              <w:pStyle w:val="20"/>
              <w:rPr>
                <w:rFonts w:ascii="Times New Roman" w:hAnsi="Times New Roman" w:cs="Times New Roman"/>
                <w:sz w:val="24"/>
                <w:szCs w:val="20"/>
              </w:rPr>
            </w:pPr>
          </w:p>
        </w:tc>
        <w:tc>
          <w:tcPr>
            <w:tcW w:w="1866" w:type="dxa"/>
            <w:vAlign w:val="top"/>
          </w:tcPr>
          <w:p>
            <w:pPr>
              <w:pStyle w:val="20"/>
              <w:rPr>
                <w:rFonts w:ascii="Times New Roman" w:hAnsi="Times New Roman" w:cs="Times New Roman"/>
                <w:sz w:val="24"/>
                <w:szCs w:val="20"/>
              </w:rPr>
            </w:pPr>
          </w:p>
        </w:tc>
        <w:tc>
          <w:tcPr>
            <w:tcW w:w="1714" w:type="dxa"/>
            <w:vAlign w:val="top"/>
          </w:tcPr>
          <w:p>
            <w:pPr>
              <w:pStyle w:val="20"/>
              <w:rPr>
                <w:rFonts w:ascii="Times New Roman" w:hAnsi="Times New Roman" w:cs="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539" w:hRule="atLeast"/>
          <w:jc w:val="center"/>
        </w:trPr>
        <w:tc>
          <w:tcPr>
            <w:tcW w:w="1217" w:type="dxa"/>
            <w:vAlign w:val="top"/>
          </w:tcPr>
          <w:p>
            <w:pPr>
              <w:pStyle w:val="20"/>
              <w:rPr>
                <w:rFonts w:ascii="Times New Roman" w:hAnsi="Times New Roman" w:cs="Times New Roman"/>
                <w:sz w:val="24"/>
                <w:szCs w:val="20"/>
              </w:rPr>
            </w:pPr>
          </w:p>
        </w:tc>
        <w:tc>
          <w:tcPr>
            <w:tcW w:w="1050" w:type="dxa"/>
            <w:vAlign w:val="top"/>
          </w:tcPr>
          <w:p>
            <w:pPr>
              <w:pStyle w:val="20"/>
              <w:rPr>
                <w:rFonts w:ascii="Times New Roman" w:hAnsi="Times New Roman" w:cs="Times New Roman"/>
                <w:sz w:val="24"/>
                <w:szCs w:val="20"/>
              </w:rPr>
            </w:pPr>
          </w:p>
        </w:tc>
        <w:tc>
          <w:tcPr>
            <w:tcW w:w="833" w:type="dxa"/>
            <w:vAlign w:val="top"/>
          </w:tcPr>
          <w:p>
            <w:pPr>
              <w:pStyle w:val="20"/>
              <w:rPr>
                <w:rFonts w:ascii="Times New Roman" w:hAnsi="Times New Roman" w:cs="Times New Roman"/>
                <w:sz w:val="24"/>
                <w:szCs w:val="20"/>
              </w:rPr>
            </w:pPr>
          </w:p>
        </w:tc>
        <w:tc>
          <w:tcPr>
            <w:tcW w:w="1434"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1160" w:type="dxa"/>
            <w:vAlign w:val="top"/>
          </w:tcPr>
          <w:p>
            <w:pPr>
              <w:pStyle w:val="20"/>
              <w:rPr>
                <w:rFonts w:ascii="Times New Roman" w:hAnsi="Times New Roman" w:cs="Times New Roman"/>
                <w:sz w:val="24"/>
                <w:szCs w:val="20"/>
              </w:rPr>
            </w:pPr>
          </w:p>
        </w:tc>
        <w:tc>
          <w:tcPr>
            <w:tcW w:w="1866" w:type="dxa"/>
            <w:vAlign w:val="top"/>
          </w:tcPr>
          <w:p>
            <w:pPr>
              <w:pStyle w:val="20"/>
              <w:rPr>
                <w:rFonts w:ascii="Times New Roman" w:hAnsi="Times New Roman" w:cs="Times New Roman"/>
                <w:sz w:val="24"/>
                <w:szCs w:val="20"/>
              </w:rPr>
            </w:pPr>
          </w:p>
        </w:tc>
        <w:tc>
          <w:tcPr>
            <w:tcW w:w="1714" w:type="dxa"/>
            <w:vAlign w:val="top"/>
          </w:tcPr>
          <w:p>
            <w:pPr>
              <w:pStyle w:val="20"/>
              <w:rPr>
                <w:rFonts w:ascii="Times New Roman" w:hAnsi="Times New Roman" w:cs="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540" w:hRule="atLeast"/>
          <w:jc w:val="center"/>
        </w:trPr>
        <w:tc>
          <w:tcPr>
            <w:tcW w:w="1217" w:type="dxa"/>
            <w:vAlign w:val="top"/>
          </w:tcPr>
          <w:p>
            <w:pPr>
              <w:pStyle w:val="20"/>
              <w:rPr>
                <w:rFonts w:ascii="Times New Roman" w:hAnsi="Times New Roman" w:cs="Times New Roman"/>
                <w:sz w:val="24"/>
                <w:szCs w:val="20"/>
              </w:rPr>
            </w:pPr>
          </w:p>
        </w:tc>
        <w:tc>
          <w:tcPr>
            <w:tcW w:w="1050" w:type="dxa"/>
            <w:vAlign w:val="top"/>
          </w:tcPr>
          <w:p>
            <w:pPr>
              <w:pStyle w:val="20"/>
              <w:rPr>
                <w:rFonts w:ascii="Times New Roman" w:hAnsi="Times New Roman" w:cs="Times New Roman"/>
                <w:sz w:val="24"/>
                <w:szCs w:val="20"/>
              </w:rPr>
            </w:pPr>
          </w:p>
        </w:tc>
        <w:tc>
          <w:tcPr>
            <w:tcW w:w="833" w:type="dxa"/>
            <w:vAlign w:val="top"/>
          </w:tcPr>
          <w:p>
            <w:pPr>
              <w:pStyle w:val="20"/>
              <w:rPr>
                <w:rFonts w:ascii="Times New Roman" w:hAnsi="Times New Roman" w:cs="Times New Roman"/>
                <w:sz w:val="24"/>
                <w:szCs w:val="20"/>
              </w:rPr>
            </w:pPr>
          </w:p>
        </w:tc>
        <w:tc>
          <w:tcPr>
            <w:tcW w:w="1434"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1160" w:type="dxa"/>
            <w:vAlign w:val="top"/>
          </w:tcPr>
          <w:p>
            <w:pPr>
              <w:pStyle w:val="20"/>
              <w:rPr>
                <w:rFonts w:ascii="Times New Roman" w:hAnsi="Times New Roman" w:cs="Times New Roman"/>
                <w:sz w:val="24"/>
                <w:szCs w:val="20"/>
              </w:rPr>
            </w:pPr>
          </w:p>
        </w:tc>
        <w:tc>
          <w:tcPr>
            <w:tcW w:w="1866" w:type="dxa"/>
            <w:vAlign w:val="top"/>
          </w:tcPr>
          <w:p>
            <w:pPr>
              <w:pStyle w:val="20"/>
              <w:rPr>
                <w:rFonts w:ascii="Times New Roman" w:hAnsi="Times New Roman" w:cs="Times New Roman"/>
                <w:sz w:val="24"/>
                <w:szCs w:val="20"/>
              </w:rPr>
            </w:pPr>
          </w:p>
        </w:tc>
        <w:tc>
          <w:tcPr>
            <w:tcW w:w="1714" w:type="dxa"/>
            <w:vAlign w:val="top"/>
          </w:tcPr>
          <w:p>
            <w:pPr>
              <w:pStyle w:val="20"/>
              <w:rPr>
                <w:rFonts w:ascii="Times New Roman" w:hAnsi="Times New Roman" w:cs="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540" w:hRule="atLeast"/>
          <w:jc w:val="center"/>
        </w:trPr>
        <w:tc>
          <w:tcPr>
            <w:tcW w:w="1217" w:type="dxa"/>
            <w:vAlign w:val="top"/>
          </w:tcPr>
          <w:p>
            <w:pPr>
              <w:pStyle w:val="20"/>
              <w:rPr>
                <w:rFonts w:ascii="Times New Roman" w:hAnsi="Times New Roman" w:cs="Times New Roman"/>
                <w:sz w:val="24"/>
                <w:szCs w:val="20"/>
              </w:rPr>
            </w:pPr>
          </w:p>
        </w:tc>
        <w:tc>
          <w:tcPr>
            <w:tcW w:w="1050" w:type="dxa"/>
            <w:vAlign w:val="top"/>
          </w:tcPr>
          <w:p>
            <w:pPr>
              <w:pStyle w:val="20"/>
              <w:rPr>
                <w:rFonts w:ascii="Times New Roman" w:hAnsi="Times New Roman" w:cs="Times New Roman"/>
                <w:sz w:val="24"/>
                <w:szCs w:val="20"/>
              </w:rPr>
            </w:pPr>
          </w:p>
        </w:tc>
        <w:tc>
          <w:tcPr>
            <w:tcW w:w="833" w:type="dxa"/>
            <w:vAlign w:val="top"/>
          </w:tcPr>
          <w:p>
            <w:pPr>
              <w:pStyle w:val="20"/>
              <w:rPr>
                <w:rFonts w:ascii="Times New Roman" w:hAnsi="Times New Roman" w:cs="Times New Roman"/>
                <w:sz w:val="24"/>
                <w:szCs w:val="20"/>
              </w:rPr>
            </w:pPr>
          </w:p>
        </w:tc>
        <w:tc>
          <w:tcPr>
            <w:tcW w:w="1434"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1160" w:type="dxa"/>
            <w:vAlign w:val="top"/>
          </w:tcPr>
          <w:p>
            <w:pPr>
              <w:pStyle w:val="20"/>
              <w:rPr>
                <w:rFonts w:ascii="Times New Roman" w:hAnsi="Times New Roman" w:cs="Times New Roman"/>
                <w:sz w:val="24"/>
                <w:szCs w:val="20"/>
              </w:rPr>
            </w:pPr>
          </w:p>
        </w:tc>
        <w:tc>
          <w:tcPr>
            <w:tcW w:w="1866" w:type="dxa"/>
            <w:vAlign w:val="top"/>
          </w:tcPr>
          <w:p>
            <w:pPr>
              <w:pStyle w:val="20"/>
              <w:rPr>
                <w:rFonts w:ascii="Times New Roman" w:hAnsi="Times New Roman" w:cs="Times New Roman"/>
                <w:sz w:val="24"/>
                <w:szCs w:val="20"/>
              </w:rPr>
            </w:pPr>
          </w:p>
        </w:tc>
        <w:tc>
          <w:tcPr>
            <w:tcW w:w="1714" w:type="dxa"/>
            <w:vAlign w:val="top"/>
          </w:tcPr>
          <w:p>
            <w:pPr>
              <w:pStyle w:val="20"/>
              <w:rPr>
                <w:rFonts w:ascii="Times New Roman" w:hAnsi="Times New Roman" w:cs="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540" w:hRule="atLeast"/>
          <w:jc w:val="center"/>
        </w:trPr>
        <w:tc>
          <w:tcPr>
            <w:tcW w:w="1217" w:type="dxa"/>
            <w:vAlign w:val="top"/>
          </w:tcPr>
          <w:p>
            <w:pPr>
              <w:pStyle w:val="20"/>
              <w:rPr>
                <w:rFonts w:ascii="Times New Roman" w:hAnsi="Times New Roman" w:cs="Times New Roman"/>
                <w:sz w:val="24"/>
                <w:szCs w:val="20"/>
              </w:rPr>
            </w:pPr>
          </w:p>
        </w:tc>
        <w:tc>
          <w:tcPr>
            <w:tcW w:w="1050" w:type="dxa"/>
            <w:vAlign w:val="top"/>
          </w:tcPr>
          <w:p>
            <w:pPr>
              <w:pStyle w:val="20"/>
              <w:rPr>
                <w:rFonts w:ascii="Times New Roman" w:hAnsi="Times New Roman" w:cs="Times New Roman"/>
                <w:sz w:val="24"/>
                <w:szCs w:val="20"/>
              </w:rPr>
            </w:pPr>
          </w:p>
        </w:tc>
        <w:tc>
          <w:tcPr>
            <w:tcW w:w="833" w:type="dxa"/>
            <w:vAlign w:val="top"/>
          </w:tcPr>
          <w:p>
            <w:pPr>
              <w:pStyle w:val="20"/>
              <w:rPr>
                <w:rFonts w:ascii="Times New Roman" w:hAnsi="Times New Roman" w:cs="Times New Roman"/>
                <w:sz w:val="24"/>
                <w:szCs w:val="20"/>
              </w:rPr>
            </w:pPr>
          </w:p>
        </w:tc>
        <w:tc>
          <w:tcPr>
            <w:tcW w:w="1434"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1160" w:type="dxa"/>
            <w:vAlign w:val="top"/>
          </w:tcPr>
          <w:p>
            <w:pPr>
              <w:pStyle w:val="20"/>
              <w:rPr>
                <w:rFonts w:ascii="Times New Roman" w:hAnsi="Times New Roman" w:cs="Times New Roman"/>
                <w:sz w:val="24"/>
                <w:szCs w:val="20"/>
              </w:rPr>
            </w:pPr>
          </w:p>
        </w:tc>
        <w:tc>
          <w:tcPr>
            <w:tcW w:w="1866" w:type="dxa"/>
            <w:vAlign w:val="top"/>
          </w:tcPr>
          <w:p>
            <w:pPr>
              <w:pStyle w:val="20"/>
              <w:rPr>
                <w:rFonts w:ascii="Times New Roman" w:hAnsi="Times New Roman" w:cs="Times New Roman"/>
                <w:sz w:val="24"/>
                <w:szCs w:val="20"/>
              </w:rPr>
            </w:pPr>
          </w:p>
        </w:tc>
        <w:tc>
          <w:tcPr>
            <w:tcW w:w="1714" w:type="dxa"/>
            <w:vAlign w:val="top"/>
          </w:tcPr>
          <w:p>
            <w:pPr>
              <w:pStyle w:val="20"/>
              <w:rPr>
                <w:rFonts w:ascii="Times New Roman" w:hAnsi="Times New Roman" w:cs="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540" w:hRule="atLeast"/>
          <w:jc w:val="center"/>
        </w:trPr>
        <w:tc>
          <w:tcPr>
            <w:tcW w:w="1217" w:type="dxa"/>
            <w:vAlign w:val="top"/>
          </w:tcPr>
          <w:p>
            <w:pPr>
              <w:pStyle w:val="20"/>
              <w:rPr>
                <w:rFonts w:ascii="Times New Roman" w:hAnsi="Times New Roman" w:cs="Times New Roman"/>
                <w:sz w:val="24"/>
                <w:szCs w:val="20"/>
              </w:rPr>
            </w:pPr>
          </w:p>
        </w:tc>
        <w:tc>
          <w:tcPr>
            <w:tcW w:w="1050" w:type="dxa"/>
            <w:vAlign w:val="top"/>
          </w:tcPr>
          <w:p>
            <w:pPr>
              <w:pStyle w:val="20"/>
              <w:rPr>
                <w:rFonts w:ascii="Times New Roman" w:hAnsi="Times New Roman" w:cs="Times New Roman"/>
                <w:sz w:val="24"/>
                <w:szCs w:val="20"/>
              </w:rPr>
            </w:pPr>
          </w:p>
        </w:tc>
        <w:tc>
          <w:tcPr>
            <w:tcW w:w="833" w:type="dxa"/>
            <w:vAlign w:val="top"/>
          </w:tcPr>
          <w:p>
            <w:pPr>
              <w:pStyle w:val="20"/>
              <w:rPr>
                <w:rFonts w:ascii="Times New Roman" w:hAnsi="Times New Roman" w:cs="Times New Roman"/>
                <w:sz w:val="24"/>
                <w:szCs w:val="20"/>
              </w:rPr>
            </w:pPr>
          </w:p>
        </w:tc>
        <w:tc>
          <w:tcPr>
            <w:tcW w:w="1434"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1160" w:type="dxa"/>
            <w:vAlign w:val="top"/>
          </w:tcPr>
          <w:p>
            <w:pPr>
              <w:pStyle w:val="20"/>
              <w:rPr>
                <w:rFonts w:ascii="Times New Roman" w:hAnsi="Times New Roman" w:cs="Times New Roman"/>
                <w:sz w:val="24"/>
                <w:szCs w:val="20"/>
              </w:rPr>
            </w:pPr>
          </w:p>
        </w:tc>
        <w:tc>
          <w:tcPr>
            <w:tcW w:w="1866" w:type="dxa"/>
            <w:vAlign w:val="top"/>
          </w:tcPr>
          <w:p>
            <w:pPr>
              <w:pStyle w:val="20"/>
              <w:rPr>
                <w:rFonts w:ascii="Times New Roman" w:hAnsi="Times New Roman" w:cs="Times New Roman"/>
                <w:sz w:val="24"/>
                <w:szCs w:val="20"/>
              </w:rPr>
            </w:pPr>
          </w:p>
        </w:tc>
        <w:tc>
          <w:tcPr>
            <w:tcW w:w="1714" w:type="dxa"/>
            <w:vAlign w:val="top"/>
          </w:tcPr>
          <w:p>
            <w:pPr>
              <w:pStyle w:val="20"/>
              <w:rPr>
                <w:rFonts w:ascii="Times New Roman" w:hAnsi="Times New Roman" w:cs="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540" w:hRule="atLeast"/>
          <w:jc w:val="center"/>
        </w:trPr>
        <w:tc>
          <w:tcPr>
            <w:tcW w:w="1217" w:type="dxa"/>
            <w:vAlign w:val="top"/>
          </w:tcPr>
          <w:p>
            <w:pPr>
              <w:pStyle w:val="20"/>
              <w:rPr>
                <w:rFonts w:ascii="Times New Roman" w:hAnsi="Times New Roman" w:cs="Times New Roman"/>
                <w:sz w:val="24"/>
                <w:szCs w:val="20"/>
              </w:rPr>
            </w:pPr>
          </w:p>
        </w:tc>
        <w:tc>
          <w:tcPr>
            <w:tcW w:w="1050" w:type="dxa"/>
            <w:vAlign w:val="top"/>
          </w:tcPr>
          <w:p>
            <w:pPr>
              <w:pStyle w:val="20"/>
              <w:rPr>
                <w:rFonts w:ascii="Times New Roman" w:hAnsi="Times New Roman" w:cs="Times New Roman"/>
                <w:sz w:val="24"/>
                <w:szCs w:val="20"/>
              </w:rPr>
            </w:pPr>
          </w:p>
        </w:tc>
        <w:tc>
          <w:tcPr>
            <w:tcW w:w="833" w:type="dxa"/>
            <w:vAlign w:val="top"/>
          </w:tcPr>
          <w:p>
            <w:pPr>
              <w:pStyle w:val="20"/>
              <w:rPr>
                <w:rFonts w:ascii="Times New Roman" w:hAnsi="Times New Roman" w:cs="Times New Roman"/>
                <w:sz w:val="24"/>
                <w:szCs w:val="20"/>
              </w:rPr>
            </w:pPr>
          </w:p>
        </w:tc>
        <w:tc>
          <w:tcPr>
            <w:tcW w:w="1434"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1160" w:type="dxa"/>
            <w:vAlign w:val="top"/>
          </w:tcPr>
          <w:p>
            <w:pPr>
              <w:pStyle w:val="20"/>
              <w:rPr>
                <w:rFonts w:ascii="Times New Roman" w:hAnsi="Times New Roman" w:cs="Times New Roman"/>
                <w:sz w:val="24"/>
                <w:szCs w:val="20"/>
              </w:rPr>
            </w:pPr>
          </w:p>
        </w:tc>
        <w:tc>
          <w:tcPr>
            <w:tcW w:w="1866" w:type="dxa"/>
            <w:vAlign w:val="top"/>
          </w:tcPr>
          <w:p>
            <w:pPr>
              <w:pStyle w:val="20"/>
              <w:rPr>
                <w:rFonts w:ascii="Times New Roman" w:hAnsi="Times New Roman" w:cs="Times New Roman"/>
                <w:sz w:val="24"/>
                <w:szCs w:val="20"/>
              </w:rPr>
            </w:pPr>
          </w:p>
        </w:tc>
        <w:tc>
          <w:tcPr>
            <w:tcW w:w="1714" w:type="dxa"/>
            <w:vAlign w:val="top"/>
          </w:tcPr>
          <w:p>
            <w:pPr>
              <w:pStyle w:val="20"/>
              <w:rPr>
                <w:rFonts w:ascii="Times New Roman" w:hAnsi="Times New Roman" w:cs="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540" w:hRule="atLeast"/>
          <w:jc w:val="center"/>
        </w:trPr>
        <w:tc>
          <w:tcPr>
            <w:tcW w:w="1217" w:type="dxa"/>
            <w:vAlign w:val="top"/>
          </w:tcPr>
          <w:p>
            <w:pPr>
              <w:pStyle w:val="20"/>
              <w:rPr>
                <w:rFonts w:ascii="Times New Roman" w:hAnsi="Times New Roman" w:cs="Times New Roman"/>
                <w:sz w:val="24"/>
                <w:szCs w:val="20"/>
              </w:rPr>
            </w:pPr>
          </w:p>
        </w:tc>
        <w:tc>
          <w:tcPr>
            <w:tcW w:w="1050" w:type="dxa"/>
            <w:vAlign w:val="top"/>
          </w:tcPr>
          <w:p>
            <w:pPr>
              <w:pStyle w:val="20"/>
              <w:rPr>
                <w:rFonts w:ascii="Times New Roman" w:hAnsi="Times New Roman" w:cs="Times New Roman"/>
                <w:sz w:val="24"/>
                <w:szCs w:val="20"/>
              </w:rPr>
            </w:pPr>
          </w:p>
        </w:tc>
        <w:tc>
          <w:tcPr>
            <w:tcW w:w="833" w:type="dxa"/>
            <w:vAlign w:val="top"/>
          </w:tcPr>
          <w:p>
            <w:pPr>
              <w:pStyle w:val="20"/>
              <w:rPr>
                <w:rFonts w:ascii="Times New Roman" w:hAnsi="Times New Roman" w:cs="Times New Roman"/>
                <w:sz w:val="24"/>
                <w:szCs w:val="20"/>
              </w:rPr>
            </w:pPr>
          </w:p>
        </w:tc>
        <w:tc>
          <w:tcPr>
            <w:tcW w:w="1434"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1160" w:type="dxa"/>
            <w:vAlign w:val="top"/>
          </w:tcPr>
          <w:p>
            <w:pPr>
              <w:pStyle w:val="20"/>
              <w:rPr>
                <w:rFonts w:ascii="Times New Roman" w:hAnsi="Times New Roman" w:cs="Times New Roman"/>
                <w:sz w:val="24"/>
                <w:szCs w:val="20"/>
              </w:rPr>
            </w:pPr>
          </w:p>
        </w:tc>
        <w:tc>
          <w:tcPr>
            <w:tcW w:w="1866" w:type="dxa"/>
            <w:vAlign w:val="top"/>
          </w:tcPr>
          <w:p>
            <w:pPr>
              <w:pStyle w:val="20"/>
              <w:rPr>
                <w:rFonts w:ascii="Times New Roman" w:hAnsi="Times New Roman" w:cs="Times New Roman"/>
                <w:sz w:val="24"/>
                <w:szCs w:val="20"/>
              </w:rPr>
            </w:pPr>
          </w:p>
        </w:tc>
        <w:tc>
          <w:tcPr>
            <w:tcW w:w="1714" w:type="dxa"/>
            <w:vAlign w:val="top"/>
          </w:tcPr>
          <w:p>
            <w:pPr>
              <w:pStyle w:val="20"/>
              <w:rPr>
                <w:rFonts w:ascii="Times New Roman" w:hAnsi="Times New Roman" w:cs="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540" w:hRule="atLeast"/>
          <w:jc w:val="center"/>
        </w:trPr>
        <w:tc>
          <w:tcPr>
            <w:tcW w:w="1217" w:type="dxa"/>
            <w:vAlign w:val="top"/>
          </w:tcPr>
          <w:p>
            <w:pPr>
              <w:pStyle w:val="20"/>
              <w:rPr>
                <w:rFonts w:ascii="Times New Roman" w:hAnsi="Times New Roman" w:cs="Times New Roman"/>
                <w:sz w:val="24"/>
                <w:szCs w:val="20"/>
              </w:rPr>
            </w:pPr>
          </w:p>
        </w:tc>
        <w:tc>
          <w:tcPr>
            <w:tcW w:w="1050" w:type="dxa"/>
            <w:vAlign w:val="top"/>
          </w:tcPr>
          <w:p>
            <w:pPr>
              <w:pStyle w:val="20"/>
              <w:rPr>
                <w:rFonts w:ascii="Times New Roman" w:hAnsi="Times New Roman" w:cs="Times New Roman"/>
                <w:sz w:val="24"/>
                <w:szCs w:val="20"/>
              </w:rPr>
            </w:pPr>
          </w:p>
        </w:tc>
        <w:tc>
          <w:tcPr>
            <w:tcW w:w="833" w:type="dxa"/>
            <w:vAlign w:val="top"/>
          </w:tcPr>
          <w:p>
            <w:pPr>
              <w:pStyle w:val="20"/>
              <w:rPr>
                <w:rFonts w:ascii="Times New Roman" w:hAnsi="Times New Roman" w:cs="Times New Roman"/>
                <w:sz w:val="24"/>
                <w:szCs w:val="20"/>
              </w:rPr>
            </w:pPr>
          </w:p>
        </w:tc>
        <w:tc>
          <w:tcPr>
            <w:tcW w:w="1434"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1160" w:type="dxa"/>
            <w:vAlign w:val="top"/>
          </w:tcPr>
          <w:p>
            <w:pPr>
              <w:pStyle w:val="20"/>
              <w:rPr>
                <w:rFonts w:ascii="Times New Roman" w:hAnsi="Times New Roman" w:cs="Times New Roman"/>
                <w:sz w:val="24"/>
                <w:szCs w:val="20"/>
              </w:rPr>
            </w:pPr>
          </w:p>
        </w:tc>
        <w:tc>
          <w:tcPr>
            <w:tcW w:w="1866" w:type="dxa"/>
            <w:vAlign w:val="top"/>
          </w:tcPr>
          <w:p>
            <w:pPr>
              <w:pStyle w:val="20"/>
              <w:rPr>
                <w:rFonts w:ascii="Times New Roman" w:hAnsi="Times New Roman" w:cs="Times New Roman"/>
                <w:sz w:val="24"/>
                <w:szCs w:val="20"/>
              </w:rPr>
            </w:pPr>
          </w:p>
        </w:tc>
        <w:tc>
          <w:tcPr>
            <w:tcW w:w="1714" w:type="dxa"/>
            <w:vAlign w:val="top"/>
          </w:tcPr>
          <w:p>
            <w:pPr>
              <w:pStyle w:val="20"/>
              <w:rPr>
                <w:rFonts w:ascii="Times New Roman" w:hAnsi="Times New Roman" w:cs="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540" w:hRule="atLeast"/>
          <w:jc w:val="center"/>
        </w:trPr>
        <w:tc>
          <w:tcPr>
            <w:tcW w:w="1217" w:type="dxa"/>
            <w:vAlign w:val="top"/>
          </w:tcPr>
          <w:p>
            <w:pPr>
              <w:pStyle w:val="20"/>
              <w:rPr>
                <w:rFonts w:ascii="Times New Roman" w:hAnsi="Times New Roman" w:cs="Times New Roman"/>
                <w:sz w:val="24"/>
                <w:szCs w:val="20"/>
              </w:rPr>
            </w:pPr>
          </w:p>
        </w:tc>
        <w:tc>
          <w:tcPr>
            <w:tcW w:w="1050" w:type="dxa"/>
            <w:vAlign w:val="top"/>
          </w:tcPr>
          <w:p>
            <w:pPr>
              <w:pStyle w:val="20"/>
              <w:rPr>
                <w:rFonts w:ascii="Times New Roman" w:hAnsi="Times New Roman" w:cs="Times New Roman"/>
                <w:sz w:val="24"/>
                <w:szCs w:val="20"/>
              </w:rPr>
            </w:pPr>
          </w:p>
        </w:tc>
        <w:tc>
          <w:tcPr>
            <w:tcW w:w="833" w:type="dxa"/>
            <w:vAlign w:val="top"/>
          </w:tcPr>
          <w:p>
            <w:pPr>
              <w:pStyle w:val="20"/>
              <w:rPr>
                <w:rFonts w:ascii="Times New Roman" w:hAnsi="Times New Roman" w:cs="Times New Roman"/>
                <w:sz w:val="24"/>
                <w:szCs w:val="20"/>
              </w:rPr>
            </w:pPr>
          </w:p>
        </w:tc>
        <w:tc>
          <w:tcPr>
            <w:tcW w:w="1434"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1160" w:type="dxa"/>
            <w:vAlign w:val="top"/>
          </w:tcPr>
          <w:p>
            <w:pPr>
              <w:pStyle w:val="20"/>
              <w:rPr>
                <w:rFonts w:ascii="Times New Roman" w:hAnsi="Times New Roman" w:cs="Times New Roman"/>
                <w:sz w:val="24"/>
                <w:szCs w:val="20"/>
              </w:rPr>
            </w:pPr>
          </w:p>
        </w:tc>
        <w:tc>
          <w:tcPr>
            <w:tcW w:w="1866" w:type="dxa"/>
            <w:vAlign w:val="top"/>
          </w:tcPr>
          <w:p>
            <w:pPr>
              <w:pStyle w:val="20"/>
              <w:rPr>
                <w:rFonts w:ascii="Times New Roman" w:hAnsi="Times New Roman" w:cs="Times New Roman"/>
                <w:sz w:val="24"/>
                <w:szCs w:val="20"/>
              </w:rPr>
            </w:pPr>
          </w:p>
        </w:tc>
        <w:tc>
          <w:tcPr>
            <w:tcW w:w="1714" w:type="dxa"/>
            <w:vAlign w:val="top"/>
          </w:tcPr>
          <w:p>
            <w:pPr>
              <w:pStyle w:val="20"/>
              <w:rPr>
                <w:rFonts w:ascii="Times New Roman" w:hAnsi="Times New Roman" w:cs="Times New Roman"/>
                <w:sz w:val="24"/>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540" w:hRule="atLeast"/>
          <w:jc w:val="center"/>
        </w:trPr>
        <w:tc>
          <w:tcPr>
            <w:tcW w:w="1217" w:type="dxa"/>
            <w:vAlign w:val="top"/>
          </w:tcPr>
          <w:p>
            <w:pPr>
              <w:pStyle w:val="20"/>
              <w:rPr>
                <w:rFonts w:ascii="Times New Roman" w:hAnsi="Times New Roman" w:cs="Times New Roman"/>
                <w:sz w:val="24"/>
                <w:szCs w:val="20"/>
              </w:rPr>
            </w:pPr>
          </w:p>
        </w:tc>
        <w:tc>
          <w:tcPr>
            <w:tcW w:w="1050" w:type="dxa"/>
            <w:vAlign w:val="top"/>
          </w:tcPr>
          <w:p>
            <w:pPr>
              <w:pStyle w:val="20"/>
              <w:rPr>
                <w:rFonts w:ascii="Times New Roman" w:hAnsi="Times New Roman" w:cs="Times New Roman"/>
                <w:sz w:val="24"/>
                <w:szCs w:val="20"/>
              </w:rPr>
            </w:pPr>
          </w:p>
        </w:tc>
        <w:tc>
          <w:tcPr>
            <w:tcW w:w="833" w:type="dxa"/>
            <w:vAlign w:val="top"/>
          </w:tcPr>
          <w:p>
            <w:pPr>
              <w:pStyle w:val="20"/>
              <w:rPr>
                <w:rFonts w:ascii="Times New Roman" w:hAnsi="Times New Roman" w:cs="Times New Roman"/>
                <w:sz w:val="24"/>
                <w:szCs w:val="20"/>
              </w:rPr>
            </w:pPr>
          </w:p>
        </w:tc>
        <w:tc>
          <w:tcPr>
            <w:tcW w:w="1434"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750" w:type="dxa"/>
            <w:vAlign w:val="top"/>
          </w:tcPr>
          <w:p>
            <w:pPr>
              <w:pStyle w:val="20"/>
              <w:rPr>
                <w:rFonts w:ascii="Times New Roman" w:hAnsi="Times New Roman" w:cs="Times New Roman"/>
                <w:sz w:val="24"/>
                <w:szCs w:val="20"/>
              </w:rPr>
            </w:pPr>
          </w:p>
        </w:tc>
        <w:tc>
          <w:tcPr>
            <w:tcW w:w="1160" w:type="dxa"/>
            <w:vAlign w:val="top"/>
          </w:tcPr>
          <w:p>
            <w:pPr>
              <w:pStyle w:val="20"/>
              <w:rPr>
                <w:rFonts w:ascii="Times New Roman" w:hAnsi="Times New Roman" w:cs="Times New Roman"/>
                <w:sz w:val="24"/>
                <w:szCs w:val="20"/>
              </w:rPr>
            </w:pPr>
          </w:p>
        </w:tc>
        <w:tc>
          <w:tcPr>
            <w:tcW w:w="1866" w:type="dxa"/>
            <w:vAlign w:val="top"/>
          </w:tcPr>
          <w:p>
            <w:pPr>
              <w:pStyle w:val="20"/>
              <w:rPr>
                <w:rFonts w:ascii="Times New Roman" w:hAnsi="Times New Roman" w:cs="Times New Roman"/>
                <w:sz w:val="24"/>
                <w:szCs w:val="20"/>
              </w:rPr>
            </w:pPr>
          </w:p>
        </w:tc>
        <w:tc>
          <w:tcPr>
            <w:tcW w:w="1714" w:type="dxa"/>
            <w:vAlign w:val="top"/>
          </w:tcPr>
          <w:p>
            <w:pPr>
              <w:pStyle w:val="20"/>
              <w:rPr>
                <w:rFonts w:ascii="Times New Roman" w:hAnsi="Times New Roman" w:cs="Times New Roman"/>
                <w:sz w:val="24"/>
                <w:szCs w:val="20"/>
              </w:rPr>
            </w:pPr>
          </w:p>
        </w:tc>
      </w:tr>
    </w:tbl>
    <w:p>
      <w:pPr>
        <w:pStyle w:val="21"/>
        <w:tabs>
          <w:tab w:val="left" w:pos="2011"/>
          <w:tab w:val="left" w:pos="2012"/>
        </w:tabs>
        <w:spacing w:line="480" w:lineRule="exact"/>
        <w:ind w:left="11" w:hanging="11" w:hangingChars="5"/>
        <w:rPr>
          <w:b/>
          <w:bCs/>
          <w:spacing w:val="-7"/>
          <w:sz w:val="24"/>
          <w:lang w:val="en-US"/>
        </w:rPr>
      </w:pPr>
    </w:p>
    <w:p/>
    <w:p>
      <w:pPr>
        <w:spacing w:line="480" w:lineRule="exact"/>
        <w:ind w:hanging="13"/>
        <w:jc w:val="center"/>
        <w:rPr>
          <w:color w:val="FF0000"/>
          <w:sz w:val="24"/>
          <w:szCs w:val="24"/>
        </w:rPr>
      </w:pPr>
      <w:r>
        <w:rPr>
          <w:rFonts w:hint="eastAsia"/>
          <w:color w:val="FF0000"/>
          <w:sz w:val="24"/>
          <w:szCs w:val="24"/>
        </w:rPr>
        <w:br w:type="page"/>
      </w:r>
    </w:p>
    <w:p>
      <w:pPr>
        <w:pStyle w:val="3"/>
        <w:spacing w:before="35"/>
        <w:ind w:left="2573"/>
      </w:pPr>
      <w:bookmarkStart w:id="56" w:name="_Toc22678_WPSOffice_Level1"/>
      <w:r>
        <w:t>附件六：近三年从事项目情况一览表</w:t>
      </w:r>
      <w:bookmarkEnd w:id="56"/>
    </w:p>
    <w:p>
      <w:pPr>
        <w:pStyle w:val="21"/>
        <w:spacing w:line="360" w:lineRule="auto"/>
        <w:rPr>
          <w:sz w:val="24"/>
          <w:szCs w:val="24"/>
          <w:u w:val="single"/>
        </w:rPr>
      </w:pPr>
      <w:r>
        <w:rPr>
          <w:sz w:val="24"/>
          <w:szCs w:val="24"/>
        </w:rPr>
        <w:t>投标人名称：（公章）</w:t>
      </w:r>
      <w:r>
        <w:rPr>
          <w:sz w:val="24"/>
          <w:szCs w:val="24"/>
          <w:u w:val="single"/>
        </w:rPr>
        <w:tab/>
      </w:r>
    </w:p>
    <w:p>
      <w:pPr>
        <w:pStyle w:val="21"/>
        <w:spacing w:line="360" w:lineRule="auto"/>
        <w:rPr>
          <w:u w:val="single"/>
          <w:lang w:val="en-US"/>
        </w:rPr>
      </w:pPr>
      <w:r>
        <w:rPr>
          <w:sz w:val="24"/>
          <w:szCs w:val="24"/>
        </w:rPr>
        <w:t>法定代表人或授权代理人签字：</w:t>
      </w:r>
    </w:p>
    <w:p>
      <w:pPr>
        <w:pStyle w:val="8"/>
        <w:spacing w:before="11" w:after="1"/>
        <w:rPr>
          <w:sz w:val="13"/>
        </w:rPr>
      </w:pPr>
    </w:p>
    <w:tbl>
      <w:tblPr>
        <w:tblStyle w:val="18"/>
        <w:tblW w:w="9432" w:type="dxa"/>
        <w:jc w:val="center"/>
        <w:tblInd w:w="-3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
      <w:tblGrid>
        <w:gridCol w:w="2289"/>
        <w:gridCol w:w="1667"/>
        <w:gridCol w:w="2129"/>
        <w:gridCol w:w="1791"/>
        <w:gridCol w:w="1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580" w:hRule="atLeast"/>
          <w:jc w:val="center"/>
        </w:trPr>
        <w:tc>
          <w:tcPr>
            <w:tcW w:w="2289" w:type="dxa"/>
            <w:vAlign w:val="center"/>
          </w:tcPr>
          <w:p>
            <w:pPr>
              <w:pStyle w:val="20"/>
              <w:spacing w:before="137"/>
              <w:jc w:val="center"/>
              <w:rPr>
                <w:rFonts w:ascii="Times New Roman" w:hAnsi="Times New Roman" w:cs="Times New Roman"/>
                <w:sz w:val="24"/>
                <w:szCs w:val="20"/>
              </w:rPr>
            </w:pPr>
            <w:r>
              <w:rPr>
                <w:rFonts w:ascii="Times New Roman" w:hAnsi="Times New Roman" w:cs="Times New Roman"/>
                <w:sz w:val="24"/>
                <w:szCs w:val="20"/>
              </w:rPr>
              <w:t>项目名称</w:t>
            </w:r>
          </w:p>
        </w:tc>
        <w:tc>
          <w:tcPr>
            <w:tcW w:w="1667" w:type="dxa"/>
            <w:vAlign w:val="center"/>
          </w:tcPr>
          <w:p>
            <w:pPr>
              <w:pStyle w:val="20"/>
              <w:spacing w:before="137"/>
              <w:jc w:val="center"/>
              <w:rPr>
                <w:rFonts w:ascii="Times New Roman" w:hAnsi="Times New Roman" w:cs="Times New Roman"/>
                <w:sz w:val="24"/>
                <w:szCs w:val="20"/>
              </w:rPr>
            </w:pPr>
            <w:r>
              <w:rPr>
                <w:rFonts w:hint="eastAsia" w:ascii="Times New Roman" w:hAnsi="Times New Roman" w:cs="Times New Roman"/>
                <w:sz w:val="24"/>
                <w:szCs w:val="20"/>
              </w:rPr>
              <w:t>业主</w:t>
            </w:r>
          </w:p>
        </w:tc>
        <w:tc>
          <w:tcPr>
            <w:tcW w:w="2129" w:type="dxa"/>
            <w:vAlign w:val="center"/>
          </w:tcPr>
          <w:p>
            <w:pPr>
              <w:pStyle w:val="20"/>
              <w:spacing w:before="137"/>
              <w:jc w:val="center"/>
              <w:rPr>
                <w:rFonts w:ascii="Times New Roman" w:hAnsi="Times New Roman" w:cs="Times New Roman"/>
                <w:sz w:val="24"/>
                <w:szCs w:val="20"/>
              </w:rPr>
            </w:pPr>
            <w:r>
              <w:rPr>
                <w:rFonts w:hint="eastAsia" w:ascii="Times New Roman" w:hAnsi="Times New Roman" w:cs="Times New Roman"/>
                <w:sz w:val="24"/>
                <w:szCs w:val="20"/>
              </w:rPr>
              <w:t>合同金额</w:t>
            </w:r>
          </w:p>
        </w:tc>
        <w:tc>
          <w:tcPr>
            <w:tcW w:w="1791" w:type="dxa"/>
            <w:vAlign w:val="center"/>
          </w:tcPr>
          <w:p>
            <w:pPr>
              <w:pStyle w:val="20"/>
              <w:spacing w:before="137"/>
              <w:jc w:val="center"/>
              <w:rPr>
                <w:rFonts w:ascii="Times New Roman" w:hAnsi="Times New Roman" w:cs="Times New Roman"/>
                <w:sz w:val="24"/>
                <w:szCs w:val="20"/>
              </w:rPr>
            </w:pPr>
            <w:r>
              <w:rPr>
                <w:rFonts w:ascii="Times New Roman" w:hAnsi="Times New Roman" w:cs="Times New Roman"/>
                <w:sz w:val="24"/>
                <w:szCs w:val="20"/>
              </w:rPr>
              <w:t>项目联系人</w:t>
            </w:r>
          </w:p>
        </w:tc>
        <w:tc>
          <w:tcPr>
            <w:tcW w:w="1556" w:type="dxa"/>
            <w:vAlign w:val="center"/>
          </w:tcPr>
          <w:p>
            <w:pPr>
              <w:pStyle w:val="20"/>
              <w:spacing w:before="137"/>
              <w:jc w:val="center"/>
              <w:rPr>
                <w:rFonts w:ascii="Times New Roman" w:hAnsi="Times New Roman" w:cs="Times New Roman"/>
                <w:sz w:val="24"/>
                <w:szCs w:val="20"/>
              </w:rPr>
            </w:pPr>
            <w:r>
              <w:rPr>
                <w:rFonts w:ascii="Times New Roman" w:hAnsi="Times New Roman" w:cs="Times New Roman"/>
                <w:sz w:val="24"/>
                <w:szCs w:val="20"/>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00" w:hRule="atLeast"/>
          <w:jc w:val="center"/>
        </w:trPr>
        <w:tc>
          <w:tcPr>
            <w:tcW w:w="2289" w:type="dxa"/>
            <w:vAlign w:val="top"/>
          </w:tcPr>
          <w:p>
            <w:pPr>
              <w:pStyle w:val="20"/>
              <w:rPr>
                <w:rFonts w:ascii="Times New Roman" w:hAnsi="Times New Roman" w:cs="Times New Roman"/>
                <w:sz w:val="26"/>
                <w:szCs w:val="20"/>
              </w:rPr>
            </w:pPr>
          </w:p>
        </w:tc>
        <w:tc>
          <w:tcPr>
            <w:tcW w:w="1667" w:type="dxa"/>
            <w:vAlign w:val="top"/>
          </w:tcPr>
          <w:p>
            <w:pPr>
              <w:pStyle w:val="20"/>
              <w:rPr>
                <w:rFonts w:ascii="Times New Roman" w:hAnsi="Times New Roman" w:cs="Times New Roman"/>
                <w:sz w:val="26"/>
                <w:szCs w:val="20"/>
              </w:rPr>
            </w:pPr>
          </w:p>
        </w:tc>
        <w:tc>
          <w:tcPr>
            <w:tcW w:w="2129" w:type="dxa"/>
            <w:vAlign w:val="top"/>
          </w:tcPr>
          <w:p>
            <w:pPr>
              <w:pStyle w:val="20"/>
              <w:rPr>
                <w:rFonts w:ascii="Times New Roman" w:hAnsi="Times New Roman" w:cs="Times New Roman"/>
                <w:sz w:val="26"/>
                <w:szCs w:val="20"/>
              </w:rPr>
            </w:pPr>
          </w:p>
        </w:tc>
        <w:tc>
          <w:tcPr>
            <w:tcW w:w="1791" w:type="dxa"/>
            <w:vAlign w:val="top"/>
          </w:tcPr>
          <w:p>
            <w:pPr>
              <w:pStyle w:val="20"/>
              <w:rPr>
                <w:rFonts w:ascii="Times New Roman" w:hAnsi="Times New Roman" w:cs="Times New Roman"/>
                <w:sz w:val="26"/>
                <w:szCs w:val="20"/>
              </w:rPr>
            </w:pPr>
          </w:p>
        </w:tc>
        <w:tc>
          <w:tcPr>
            <w:tcW w:w="1556" w:type="dxa"/>
            <w:vAlign w:val="top"/>
          </w:tcPr>
          <w:p>
            <w:pPr>
              <w:pStyle w:val="20"/>
              <w:rPr>
                <w:rFonts w:ascii="Times New Roman" w:hAnsi="Times New Roman" w:cs="Times New Roman"/>
                <w:sz w:val="2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00" w:hRule="atLeast"/>
          <w:jc w:val="center"/>
        </w:trPr>
        <w:tc>
          <w:tcPr>
            <w:tcW w:w="2289" w:type="dxa"/>
            <w:vAlign w:val="top"/>
          </w:tcPr>
          <w:p>
            <w:pPr>
              <w:pStyle w:val="20"/>
              <w:rPr>
                <w:rFonts w:ascii="Times New Roman" w:hAnsi="Times New Roman" w:cs="Times New Roman"/>
                <w:sz w:val="26"/>
                <w:szCs w:val="20"/>
              </w:rPr>
            </w:pPr>
          </w:p>
        </w:tc>
        <w:tc>
          <w:tcPr>
            <w:tcW w:w="1667" w:type="dxa"/>
            <w:vAlign w:val="top"/>
          </w:tcPr>
          <w:p>
            <w:pPr>
              <w:pStyle w:val="20"/>
              <w:rPr>
                <w:rFonts w:ascii="Times New Roman" w:hAnsi="Times New Roman" w:cs="Times New Roman"/>
                <w:sz w:val="26"/>
                <w:szCs w:val="20"/>
              </w:rPr>
            </w:pPr>
          </w:p>
        </w:tc>
        <w:tc>
          <w:tcPr>
            <w:tcW w:w="2129" w:type="dxa"/>
            <w:vAlign w:val="top"/>
          </w:tcPr>
          <w:p>
            <w:pPr>
              <w:pStyle w:val="20"/>
              <w:rPr>
                <w:rFonts w:ascii="Times New Roman" w:hAnsi="Times New Roman" w:cs="Times New Roman"/>
                <w:sz w:val="26"/>
                <w:szCs w:val="20"/>
              </w:rPr>
            </w:pPr>
          </w:p>
        </w:tc>
        <w:tc>
          <w:tcPr>
            <w:tcW w:w="1791" w:type="dxa"/>
            <w:vAlign w:val="top"/>
          </w:tcPr>
          <w:p>
            <w:pPr>
              <w:pStyle w:val="20"/>
              <w:rPr>
                <w:rFonts w:ascii="Times New Roman" w:hAnsi="Times New Roman" w:cs="Times New Roman"/>
                <w:sz w:val="26"/>
                <w:szCs w:val="20"/>
              </w:rPr>
            </w:pPr>
          </w:p>
        </w:tc>
        <w:tc>
          <w:tcPr>
            <w:tcW w:w="1556" w:type="dxa"/>
            <w:vAlign w:val="top"/>
          </w:tcPr>
          <w:p>
            <w:pPr>
              <w:pStyle w:val="20"/>
              <w:rPr>
                <w:rFonts w:ascii="Times New Roman" w:hAnsi="Times New Roman" w:cs="Times New Roman"/>
                <w:sz w:val="2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01" w:hRule="atLeast"/>
          <w:jc w:val="center"/>
        </w:trPr>
        <w:tc>
          <w:tcPr>
            <w:tcW w:w="2289" w:type="dxa"/>
            <w:vAlign w:val="top"/>
          </w:tcPr>
          <w:p>
            <w:pPr>
              <w:pStyle w:val="20"/>
              <w:rPr>
                <w:rFonts w:ascii="Times New Roman" w:hAnsi="Times New Roman" w:cs="Times New Roman"/>
                <w:sz w:val="26"/>
                <w:szCs w:val="20"/>
              </w:rPr>
            </w:pPr>
          </w:p>
        </w:tc>
        <w:tc>
          <w:tcPr>
            <w:tcW w:w="1667" w:type="dxa"/>
            <w:vAlign w:val="top"/>
          </w:tcPr>
          <w:p>
            <w:pPr>
              <w:pStyle w:val="20"/>
              <w:rPr>
                <w:rFonts w:ascii="Times New Roman" w:hAnsi="Times New Roman" w:cs="Times New Roman"/>
                <w:sz w:val="26"/>
                <w:szCs w:val="20"/>
              </w:rPr>
            </w:pPr>
          </w:p>
        </w:tc>
        <w:tc>
          <w:tcPr>
            <w:tcW w:w="2129" w:type="dxa"/>
            <w:vAlign w:val="top"/>
          </w:tcPr>
          <w:p>
            <w:pPr>
              <w:pStyle w:val="20"/>
              <w:rPr>
                <w:rFonts w:ascii="Times New Roman" w:hAnsi="Times New Roman" w:cs="Times New Roman"/>
                <w:sz w:val="26"/>
                <w:szCs w:val="20"/>
              </w:rPr>
            </w:pPr>
          </w:p>
        </w:tc>
        <w:tc>
          <w:tcPr>
            <w:tcW w:w="1791" w:type="dxa"/>
            <w:vAlign w:val="top"/>
          </w:tcPr>
          <w:p>
            <w:pPr>
              <w:pStyle w:val="20"/>
              <w:rPr>
                <w:rFonts w:ascii="Times New Roman" w:hAnsi="Times New Roman" w:cs="Times New Roman"/>
                <w:sz w:val="26"/>
                <w:szCs w:val="20"/>
              </w:rPr>
            </w:pPr>
          </w:p>
        </w:tc>
        <w:tc>
          <w:tcPr>
            <w:tcW w:w="1556" w:type="dxa"/>
            <w:vAlign w:val="top"/>
          </w:tcPr>
          <w:p>
            <w:pPr>
              <w:pStyle w:val="20"/>
              <w:rPr>
                <w:rFonts w:ascii="Times New Roman" w:hAnsi="Times New Roman" w:cs="Times New Roman"/>
                <w:sz w:val="2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00" w:hRule="atLeast"/>
          <w:jc w:val="center"/>
        </w:trPr>
        <w:tc>
          <w:tcPr>
            <w:tcW w:w="2289" w:type="dxa"/>
            <w:vAlign w:val="top"/>
          </w:tcPr>
          <w:p>
            <w:pPr>
              <w:pStyle w:val="20"/>
              <w:rPr>
                <w:rFonts w:ascii="Times New Roman" w:hAnsi="Times New Roman" w:cs="Times New Roman"/>
                <w:sz w:val="26"/>
                <w:szCs w:val="20"/>
              </w:rPr>
            </w:pPr>
          </w:p>
        </w:tc>
        <w:tc>
          <w:tcPr>
            <w:tcW w:w="1667" w:type="dxa"/>
            <w:vAlign w:val="top"/>
          </w:tcPr>
          <w:p>
            <w:pPr>
              <w:pStyle w:val="20"/>
              <w:rPr>
                <w:rFonts w:ascii="Times New Roman" w:hAnsi="Times New Roman" w:cs="Times New Roman"/>
                <w:sz w:val="26"/>
                <w:szCs w:val="20"/>
              </w:rPr>
            </w:pPr>
          </w:p>
        </w:tc>
        <w:tc>
          <w:tcPr>
            <w:tcW w:w="2129" w:type="dxa"/>
            <w:vAlign w:val="top"/>
          </w:tcPr>
          <w:p>
            <w:pPr>
              <w:pStyle w:val="20"/>
              <w:rPr>
                <w:rFonts w:ascii="Times New Roman" w:hAnsi="Times New Roman" w:cs="Times New Roman"/>
                <w:sz w:val="26"/>
                <w:szCs w:val="20"/>
              </w:rPr>
            </w:pPr>
          </w:p>
        </w:tc>
        <w:tc>
          <w:tcPr>
            <w:tcW w:w="1791" w:type="dxa"/>
            <w:vAlign w:val="top"/>
          </w:tcPr>
          <w:p>
            <w:pPr>
              <w:pStyle w:val="20"/>
              <w:rPr>
                <w:rFonts w:ascii="Times New Roman" w:hAnsi="Times New Roman" w:cs="Times New Roman"/>
                <w:sz w:val="26"/>
                <w:szCs w:val="20"/>
              </w:rPr>
            </w:pPr>
          </w:p>
        </w:tc>
        <w:tc>
          <w:tcPr>
            <w:tcW w:w="1556" w:type="dxa"/>
            <w:vAlign w:val="top"/>
          </w:tcPr>
          <w:p>
            <w:pPr>
              <w:pStyle w:val="20"/>
              <w:rPr>
                <w:rFonts w:ascii="Times New Roman" w:hAnsi="Times New Roman" w:cs="Times New Roman"/>
                <w:sz w:val="2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01" w:hRule="atLeast"/>
          <w:jc w:val="center"/>
        </w:trPr>
        <w:tc>
          <w:tcPr>
            <w:tcW w:w="2289" w:type="dxa"/>
            <w:vAlign w:val="top"/>
          </w:tcPr>
          <w:p>
            <w:pPr>
              <w:pStyle w:val="20"/>
              <w:rPr>
                <w:rFonts w:ascii="Times New Roman" w:hAnsi="Times New Roman" w:cs="Times New Roman"/>
                <w:sz w:val="26"/>
                <w:szCs w:val="20"/>
              </w:rPr>
            </w:pPr>
          </w:p>
        </w:tc>
        <w:tc>
          <w:tcPr>
            <w:tcW w:w="1667" w:type="dxa"/>
            <w:vAlign w:val="top"/>
          </w:tcPr>
          <w:p>
            <w:pPr>
              <w:pStyle w:val="20"/>
              <w:rPr>
                <w:rFonts w:ascii="Times New Roman" w:hAnsi="Times New Roman" w:cs="Times New Roman"/>
                <w:sz w:val="26"/>
                <w:szCs w:val="20"/>
              </w:rPr>
            </w:pPr>
          </w:p>
        </w:tc>
        <w:tc>
          <w:tcPr>
            <w:tcW w:w="2129" w:type="dxa"/>
            <w:vAlign w:val="top"/>
          </w:tcPr>
          <w:p>
            <w:pPr>
              <w:pStyle w:val="20"/>
              <w:rPr>
                <w:rFonts w:ascii="Times New Roman" w:hAnsi="Times New Roman" w:cs="Times New Roman"/>
                <w:sz w:val="26"/>
                <w:szCs w:val="20"/>
              </w:rPr>
            </w:pPr>
          </w:p>
        </w:tc>
        <w:tc>
          <w:tcPr>
            <w:tcW w:w="1791" w:type="dxa"/>
            <w:vAlign w:val="top"/>
          </w:tcPr>
          <w:p>
            <w:pPr>
              <w:pStyle w:val="20"/>
              <w:rPr>
                <w:rFonts w:ascii="Times New Roman" w:hAnsi="Times New Roman" w:cs="Times New Roman"/>
                <w:sz w:val="26"/>
                <w:szCs w:val="20"/>
              </w:rPr>
            </w:pPr>
          </w:p>
        </w:tc>
        <w:tc>
          <w:tcPr>
            <w:tcW w:w="1556" w:type="dxa"/>
            <w:vAlign w:val="top"/>
          </w:tcPr>
          <w:p>
            <w:pPr>
              <w:pStyle w:val="20"/>
              <w:rPr>
                <w:rFonts w:ascii="Times New Roman" w:hAnsi="Times New Roman" w:cs="Times New Roman"/>
                <w:sz w:val="2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00" w:hRule="atLeast"/>
          <w:jc w:val="center"/>
        </w:trPr>
        <w:tc>
          <w:tcPr>
            <w:tcW w:w="2289" w:type="dxa"/>
            <w:vAlign w:val="top"/>
          </w:tcPr>
          <w:p>
            <w:pPr>
              <w:pStyle w:val="20"/>
              <w:rPr>
                <w:rFonts w:ascii="Times New Roman" w:hAnsi="Times New Roman" w:cs="Times New Roman"/>
                <w:sz w:val="26"/>
                <w:szCs w:val="20"/>
              </w:rPr>
            </w:pPr>
          </w:p>
        </w:tc>
        <w:tc>
          <w:tcPr>
            <w:tcW w:w="1667" w:type="dxa"/>
            <w:vAlign w:val="top"/>
          </w:tcPr>
          <w:p>
            <w:pPr>
              <w:pStyle w:val="20"/>
              <w:rPr>
                <w:rFonts w:ascii="Times New Roman" w:hAnsi="Times New Roman" w:cs="Times New Roman"/>
                <w:sz w:val="26"/>
                <w:szCs w:val="20"/>
              </w:rPr>
            </w:pPr>
          </w:p>
        </w:tc>
        <w:tc>
          <w:tcPr>
            <w:tcW w:w="2129" w:type="dxa"/>
            <w:vAlign w:val="top"/>
          </w:tcPr>
          <w:p>
            <w:pPr>
              <w:pStyle w:val="20"/>
              <w:rPr>
                <w:rFonts w:ascii="Times New Roman" w:hAnsi="Times New Roman" w:cs="Times New Roman"/>
                <w:sz w:val="26"/>
                <w:szCs w:val="20"/>
              </w:rPr>
            </w:pPr>
          </w:p>
        </w:tc>
        <w:tc>
          <w:tcPr>
            <w:tcW w:w="1791" w:type="dxa"/>
            <w:vAlign w:val="top"/>
          </w:tcPr>
          <w:p>
            <w:pPr>
              <w:pStyle w:val="20"/>
              <w:rPr>
                <w:rFonts w:ascii="Times New Roman" w:hAnsi="Times New Roman" w:cs="Times New Roman"/>
                <w:sz w:val="26"/>
                <w:szCs w:val="20"/>
              </w:rPr>
            </w:pPr>
          </w:p>
        </w:tc>
        <w:tc>
          <w:tcPr>
            <w:tcW w:w="1556" w:type="dxa"/>
            <w:vAlign w:val="top"/>
          </w:tcPr>
          <w:p>
            <w:pPr>
              <w:pStyle w:val="20"/>
              <w:rPr>
                <w:rFonts w:ascii="Times New Roman" w:hAnsi="Times New Roman" w:cs="Times New Roman"/>
                <w:sz w:val="2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00" w:hRule="atLeast"/>
          <w:jc w:val="center"/>
        </w:trPr>
        <w:tc>
          <w:tcPr>
            <w:tcW w:w="2289" w:type="dxa"/>
            <w:vAlign w:val="top"/>
          </w:tcPr>
          <w:p>
            <w:pPr>
              <w:pStyle w:val="20"/>
              <w:rPr>
                <w:rFonts w:ascii="Times New Roman" w:hAnsi="Times New Roman" w:cs="Times New Roman"/>
                <w:sz w:val="26"/>
                <w:szCs w:val="20"/>
              </w:rPr>
            </w:pPr>
          </w:p>
        </w:tc>
        <w:tc>
          <w:tcPr>
            <w:tcW w:w="1667" w:type="dxa"/>
            <w:vAlign w:val="top"/>
          </w:tcPr>
          <w:p>
            <w:pPr>
              <w:pStyle w:val="20"/>
              <w:rPr>
                <w:rFonts w:ascii="Times New Roman" w:hAnsi="Times New Roman" w:cs="Times New Roman"/>
                <w:sz w:val="26"/>
                <w:szCs w:val="20"/>
              </w:rPr>
            </w:pPr>
          </w:p>
        </w:tc>
        <w:tc>
          <w:tcPr>
            <w:tcW w:w="2129" w:type="dxa"/>
            <w:vAlign w:val="top"/>
          </w:tcPr>
          <w:p>
            <w:pPr>
              <w:pStyle w:val="20"/>
              <w:rPr>
                <w:rFonts w:ascii="Times New Roman" w:hAnsi="Times New Roman" w:cs="Times New Roman"/>
                <w:sz w:val="26"/>
                <w:szCs w:val="20"/>
              </w:rPr>
            </w:pPr>
          </w:p>
        </w:tc>
        <w:tc>
          <w:tcPr>
            <w:tcW w:w="1791" w:type="dxa"/>
            <w:vAlign w:val="top"/>
          </w:tcPr>
          <w:p>
            <w:pPr>
              <w:pStyle w:val="20"/>
              <w:rPr>
                <w:rFonts w:ascii="Times New Roman" w:hAnsi="Times New Roman" w:cs="Times New Roman"/>
                <w:sz w:val="26"/>
                <w:szCs w:val="20"/>
              </w:rPr>
            </w:pPr>
          </w:p>
        </w:tc>
        <w:tc>
          <w:tcPr>
            <w:tcW w:w="1556" w:type="dxa"/>
            <w:vAlign w:val="top"/>
          </w:tcPr>
          <w:p>
            <w:pPr>
              <w:pStyle w:val="20"/>
              <w:rPr>
                <w:rFonts w:ascii="Times New Roman" w:hAnsi="Times New Roman" w:cs="Times New Roman"/>
                <w:sz w:val="2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00" w:hRule="atLeast"/>
          <w:jc w:val="center"/>
        </w:trPr>
        <w:tc>
          <w:tcPr>
            <w:tcW w:w="2289" w:type="dxa"/>
            <w:vAlign w:val="top"/>
          </w:tcPr>
          <w:p>
            <w:pPr>
              <w:pStyle w:val="20"/>
              <w:rPr>
                <w:rFonts w:ascii="Times New Roman" w:hAnsi="Times New Roman" w:cs="Times New Roman"/>
                <w:sz w:val="26"/>
                <w:szCs w:val="20"/>
              </w:rPr>
            </w:pPr>
          </w:p>
        </w:tc>
        <w:tc>
          <w:tcPr>
            <w:tcW w:w="1667" w:type="dxa"/>
            <w:vAlign w:val="top"/>
          </w:tcPr>
          <w:p>
            <w:pPr>
              <w:pStyle w:val="20"/>
              <w:rPr>
                <w:rFonts w:ascii="Times New Roman" w:hAnsi="Times New Roman" w:cs="Times New Roman"/>
                <w:sz w:val="26"/>
                <w:szCs w:val="20"/>
              </w:rPr>
            </w:pPr>
          </w:p>
        </w:tc>
        <w:tc>
          <w:tcPr>
            <w:tcW w:w="2129" w:type="dxa"/>
            <w:vAlign w:val="top"/>
          </w:tcPr>
          <w:p>
            <w:pPr>
              <w:pStyle w:val="20"/>
              <w:rPr>
                <w:rFonts w:ascii="Times New Roman" w:hAnsi="Times New Roman" w:cs="Times New Roman"/>
                <w:sz w:val="26"/>
                <w:szCs w:val="20"/>
              </w:rPr>
            </w:pPr>
          </w:p>
        </w:tc>
        <w:tc>
          <w:tcPr>
            <w:tcW w:w="1791" w:type="dxa"/>
            <w:vAlign w:val="top"/>
          </w:tcPr>
          <w:p>
            <w:pPr>
              <w:pStyle w:val="20"/>
              <w:rPr>
                <w:rFonts w:ascii="Times New Roman" w:hAnsi="Times New Roman" w:cs="Times New Roman"/>
                <w:sz w:val="26"/>
                <w:szCs w:val="20"/>
              </w:rPr>
            </w:pPr>
          </w:p>
        </w:tc>
        <w:tc>
          <w:tcPr>
            <w:tcW w:w="1556" w:type="dxa"/>
            <w:vAlign w:val="top"/>
          </w:tcPr>
          <w:p>
            <w:pPr>
              <w:pStyle w:val="20"/>
              <w:rPr>
                <w:rFonts w:ascii="Times New Roman" w:hAnsi="Times New Roman" w:cs="Times New Roman"/>
                <w:sz w:val="2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01" w:hRule="atLeast"/>
          <w:jc w:val="center"/>
        </w:trPr>
        <w:tc>
          <w:tcPr>
            <w:tcW w:w="2289" w:type="dxa"/>
            <w:vAlign w:val="top"/>
          </w:tcPr>
          <w:p>
            <w:pPr>
              <w:pStyle w:val="20"/>
              <w:rPr>
                <w:rFonts w:ascii="Times New Roman" w:hAnsi="Times New Roman" w:cs="Times New Roman"/>
                <w:sz w:val="26"/>
                <w:szCs w:val="20"/>
              </w:rPr>
            </w:pPr>
          </w:p>
        </w:tc>
        <w:tc>
          <w:tcPr>
            <w:tcW w:w="1667" w:type="dxa"/>
            <w:vAlign w:val="top"/>
          </w:tcPr>
          <w:p>
            <w:pPr>
              <w:pStyle w:val="20"/>
              <w:rPr>
                <w:rFonts w:ascii="Times New Roman" w:hAnsi="Times New Roman" w:cs="Times New Roman"/>
                <w:sz w:val="26"/>
                <w:szCs w:val="20"/>
              </w:rPr>
            </w:pPr>
          </w:p>
        </w:tc>
        <w:tc>
          <w:tcPr>
            <w:tcW w:w="2129" w:type="dxa"/>
            <w:vAlign w:val="top"/>
          </w:tcPr>
          <w:p>
            <w:pPr>
              <w:pStyle w:val="20"/>
              <w:rPr>
                <w:rFonts w:ascii="Times New Roman" w:hAnsi="Times New Roman" w:cs="Times New Roman"/>
                <w:sz w:val="26"/>
                <w:szCs w:val="20"/>
              </w:rPr>
            </w:pPr>
          </w:p>
        </w:tc>
        <w:tc>
          <w:tcPr>
            <w:tcW w:w="1791" w:type="dxa"/>
            <w:vAlign w:val="top"/>
          </w:tcPr>
          <w:p>
            <w:pPr>
              <w:pStyle w:val="20"/>
              <w:rPr>
                <w:rFonts w:ascii="Times New Roman" w:hAnsi="Times New Roman" w:cs="Times New Roman"/>
                <w:sz w:val="26"/>
                <w:szCs w:val="20"/>
              </w:rPr>
            </w:pPr>
          </w:p>
        </w:tc>
        <w:tc>
          <w:tcPr>
            <w:tcW w:w="1556" w:type="dxa"/>
            <w:vAlign w:val="top"/>
          </w:tcPr>
          <w:p>
            <w:pPr>
              <w:pStyle w:val="20"/>
              <w:rPr>
                <w:rFonts w:ascii="Times New Roman" w:hAnsi="Times New Roman" w:cs="Times New Roman"/>
                <w:sz w:val="2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00" w:hRule="atLeast"/>
          <w:jc w:val="center"/>
        </w:trPr>
        <w:tc>
          <w:tcPr>
            <w:tcW w:w="2289" w:type="dxa"/>
            <w:vAlign w:val="top"/>
          </w:tcPr>
          <w:p>
            <w:pPr>
              <w:pStyle w:val="20"/>
              <w:rPr>
                <w:rFonts w:ascii="Times New Roman" w:hAnsi="Times New Roman" w:cs="Times New Roman"/>
                <w:sz w:val="26"/>
                <w:szCs w:val="20"/>
              </w:rPr>
            </w:pPr>
          </w:p>
        </w:tc>
        <w:tc>
          <w:tcPr>
            <w:tcW w:w="1667" w:type="dxa"/>
            <w:vAlign w:val="top"/>
          </w:tcPr>
          <w:p>
            <w:pPr>
              <w:pStyle w:val="20"/>
              <w:rPr>
                <w:rFonts w:ascii="Times New Roman" w:hAnsi="Times New Roman" w:cs="Times New Roman"/>
                <w:sz w:val="26"/>
                <w:szCs w:val="20"/>
              </w:rPr>
            </w:pPr>
          </w:p>
        </w:tc>
        <w:tc>
          <w:tcPr>
            <w:tcW w:w="2129" w:type="dxa"/>
            <w:vAlign w:val="top"/>
          </w:tcPr>
          <w:p>
            <w:pPr>
              <w:pStyle w:val="20"/>
              <w:rPr>
                <w:rFonts w:ascii="Times New Roman" w:hAnsi="Times New Roman" w:cs="Times New Roman"/>
                <w:sz w:val="26"/>
                <w:szCs w:val="20"/>
              </w:rPr>
            </w:pPr>
          </w:p>
        </w:tc>
        <w:tc>
          <w:tcPr>
            <w:tcW w:w="1791" w:type="dxa"/>
            <w:vAlign w:val="top"/>
          </w:tcPr>
          <w:p>
            <w:pPr>
              <w:pStyle w:val="20"/>
              <w:rPr>
                <w:rFonts w:ascii="Times New Roman" w:hAnsi="Times New Roman" w:cs="Times New Roman"/>
                <w:sz w:val="26"/>
                <w:szCs w:val="20"/>
              </w:rPr>
            </w:pPr>
          </w:p>
        </w:tc>
        <w:tc>
          <w:tcPr>
            <w:tcW w:w="1556" w:type="dxa"/>
            <w:vAlign w:val="top"/>
          </w:tcPr>
          <w:p>
            <w:pPr>
              <w:pStyle w:val="20"/>
              <w:rPr>
                <w:rFonts w:ascii="Times New Roman" w:hAnsi="Times New Roman" w:cs="Times New Roman"/>
                <w:sz w:val="2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01" w:hRule="atLeast"/>
          <w:jc w:val="center"/>
        </w:trPr>
        <w:tc>
          <w:tcPr>
            <w:tcW w:w="2289" w:type="dxa"/>
            <w:vAlign w:val="top"/>
          </w:tcPr>
          <w:p>
            <w:pPr>
              <w:pStyle w:val="20"/>
              <w:rPr>
                <w:rFonts w:ascii="Times New Roman" w:hAnsi="Times New Roman" w:cs="Times New Roman"/>
                <w:sz w:val="26"/>
                <w:szCs w:val="20"/>
              </w:rPr>
            </w:pPr>
          </w:p>
        </w:tc>
        <w:tc>
          <w:tcPr>
            <w:tcW w:w="1667" w:type="dxa"/>
            <w:vAlign w:val="top"/>
          </w:tcPr>
          <w:p>
            <w:pPr>
              <w:pStyle w:val="20"/>
              <w:rPr>
                <w:rFonts w:ascii="Times New Roman" w:hAnsi="Times New Roman" w:cs="Times New Roman"/>
                <w:sz w:val="26"/>
                <w:szCs w:val="20"/>
              </w:rPr>
            </w:pPr>
          </w:p>
        </w:tc>
        <w:tc>
          <w:tcPr>
            <w:tcW w:w="2129" w:type="dxa"/>
            <w:vAlign w:val="top"/>
          </w:tcPr>
          <w:p>
            <w:pPr>
              <w:pStyle w:val="20"/>
              <w:rPr>
                <w:rFonts w:ascii="Times New Roman" w:hAnsi="Times New Roman" w:cs="Times New Roman"/>
                <w:sz w:val="26"/>
                <w:szCs w:val="20"/>
              </w:rPr>
            </w:pPr>
          </w:p>
        </w:tc>
        <w:tc>
          <w:tcPr>
            <w:tcW w:w="1791" w:type="dxa"/>
            <w:vAlign w:val="top"/>
          </w:tcPr>
          <w:p>
            <w:pPr>
              <w:pStyle w:val="20"/>
              <w:rPr>
                <w:rFonts w:ascii="Times New Roman" w:hAnsi="Times New Roman" w:cs="Times New Roman"/>
                <w:sz w:val="26"/>
                <w:szCs w:val="20"/>
              </w:rPr>
            </w:pPr>
          </w:p>
        </w:tc>
        <w:tc>
          <w:tcPr>
            <w:tcW w:w="1556" w:type="dxa"/>
            <w:vAlign w:val="top"/>
          </w:tcPr>
          <w:p>
            <w:pPr>
              <w:pStyle w:val="20"/>
              <w:rPr>
                <w:rFonts w:ascii="Times New Roman" w:hAnsi="Times New Roman" w:cs="Times New Roman"/>
                <w:sz w:val="2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00" w:hRule="atLeast"/>
          <w:jc w:val="center"/>
        </w:trPr>
        <w:tc>
          <w:tcPr>
            <w:tcW w:w="2289" w:type="dxa"/>
            <w:vAlign w:val="top"/>
          </w:tcPr>
          <w:p>
            <w:pPr>
              <w:pStyle w:val="20"/>
              <w:rPr>
                <w:rFonts w:ascii="Times New Roman" w:hAnsi="Times New Roman" w:cs="Times New Roman"/>
                <w:sz w:val="26"/>
                <w:szCs w:val="20"/>
              </w:rPr>
            </w:pPr>
          </w:p>
        </w:tc>
        <w:tc>
          <w:tcPr>
            <w:tcW w:w="1667" w:type="dxa"/>
            <w:vAlign w:val="top"/>
          </w:tcPr>
          <w:p>
            <w:pPr>
              <w:pStyle w:val="20"/>
              <w:rPr>
                <w:rFonts w:ascii="Times New Roman" w:hAnsi="Times New Roman" w:cs="Times New Roman"/>
                <w:sz w:val="26"/>
                <w:szCs w:val="20"/>
              </w:rPr>
            </w:pPr>
          </w:p>
        </w:tc>
        <w:tc>
          <w:tcPr>
            <w:tcW w:w="2129" w:type="dxa"/>
            <w:vAlign w:val="top"/>
          </w:tcPr>
          <w:p>
            <w:pPr>
              <w:pStyle w:val="20"/>
              <w:rPr>
                <w:rFonts w:ascii="Times New Roman" w:hAnsi="Times New Roman" w:cs="Times New Roman"/>
                <w:sz w:val="26"/>
                <w:szCs w:val="20"/>
              </w:rPr>
            </w:pPr>
          </w:p>
        </w:tc>
        <w:tc>
          <w:tcPr>
            <w:tcW w:w="1791" w:type="dxa"/>
            <w:vAlign w:val="top"/>
          </w:tcPr>
          <w:p>
            <w:pPr>
              <w:pStyle w:val="20"/>
              <w:rPr>
                <w:rFonts w:ascii="Times New Roman" w:hAnsi="Times New Roman" w:cs="Times New Roman"/>
                <w:sz w:val="26"/>
                <w:szCs w:val="20"/>
              </w:rPr>
            </w:pPr>
          </w:p>
        </w:tc>
        <w:tc>
          <w:tcPr>
            <w:tcW w:w="1556" w:type="dxa"/>
            <w:vAlign w:val="top"/>
          </w:tcPr>
          <w:p>
            <w:pPr>
              <w:pStyle w:val="20"/>
              <w:rPr>
                <w:rFonts w:ascii="Times New Roman" w:hAnsi="Times New Roman" w:cs="Times New Roman"/>
                <w:sz w:val="26"/>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PrEx>
        <w:trPr>
          <w:trHeight w:val="600" w:hRule="atLeast"/>
          <w:jc w:val="center"/>
        </w:trPr>
        <w:tc>
          <w:tcPr>
            <w:tcW w:w="2289" w:type="dxa"/>
            <w:vAlign w:val="top"/>
          </w:tcPr>
          <w:p>
            <w:pPr>
              <w:pStyle w:val="20"/>
              <w:rPr>
                <w:rFonts w:ascii="Times New Roman" w:hAnsi="Times New Roman" w:cs="Times New Roman"/>
                <w:sz w:val="26"/>
                <w:szCs w:val="20"/>
              </w:rPr>
            </w:pPr>
          </w:p>
        </w:tc>
        <w:tc>
          <w:tcPr>
            <w:tcW w:w="1667" w:type="dxa"/>
            <w:vAlign w:val="top"/>
          </w:tcPr>
          <w:p>
            <w:pPr>
              <w:pStyle w:val="20"/>
              <w:rPr>
                <w:rFonts w:ascii="Times New Roman" w:hAnsi="Times New Roman" w:cs="Times New Roman"/>
                <w:sz w:val="26"/>
                <w:szCs w:val="20"/>
              </w:rPr>
            </w:pPr>
          </w:p>
        </w:tc>
        <w:tc>
          <w:tcPr>
            <w:tcW w:w="2129" w:type="dxa"/>
            <w:vAlign w:val="top"/>
          </w:tcPr>
          <w:p>
            <w:pPr>
              <w:pStyle w:val="20"/>
              <w:rPr>
                <w:rFonts w:ascii="Times New Roman" w:hAnsi="Times New Roman" w:cs="Times New Roman"/>
                <w:sz w:val="26"/>
                <w:szCs w:val="20"/>
              </w:rPr>
            </w:pPr>
          </w:p>
        </w:tc>
        <w:tc>
          <w:tcPr>
            <w:tcW w:w="1791" w:type="dxa"/>
            <w:vAlign w:val="top"/>
          </w:tcPr>
          <w:p>
            <w:pPr>
              <w:pStyle w:val="20"/>
              <w:rPr>
                <w:rFonts w:ascii="Times New Roman" w:hAnsi="Times New Roman" w:cs="Times New Roman"/>
                <w:sz w:val="26"/>
                <w:szCs w:val="20"/>
              </w:rPr>
            </w:pPr>
          </w:p>
        </w:tc>
        <w:tc>
          <w:tcPr>
            <w:tcW w:w="1556" w:type="dxa"/>
            <w:vAlign w:val="top"/>
          </w:tcPr>
          <w:p>
            <w:pPr>
              <w:pStyle w:val="20"/>
              <w:rPr>
                <w:rFonts w:ascii="Times New Roman" w:hAnsi="Times New Roman" w:cs="Times New Roman"/>
                <w:sz w:val="26"/>
                <w:szCs w:val="20"/>
              </w:rPr>
            </w:pPr>
          </w:p>
        </w:tc>
      </w:tr>
    </w:tbl>
    <w:p>
      <w:pPr>
        <w:pStyle w:val="8"/>
        <w:rPr>
          <w:sz w:val="20"/>
        </w:rPr>
      </w:pPr>
    </w:p>
    <w:p>
      <w:pPr>
        <w:pStyle w:val="8"/>
        <w:rPr>
          <w:sz w:val="20"/>
        </w:rPr>
      </w:pPr>
    </w:p>
    <w:p>
      <w:pPr>
        <w:pStyle w:val="8"/>
        <w:rPr>
          <w:sz w:val="20"/>
        </w:rPr>
      </w:pPr>
    </w:p>
    <w:p>
      <w:pPr>
        <w:pStyle w:val="8"/>
        <w:spacing w:before="11"/>
        <w:rPr>
          <w:sz w:val="18"/>
        </w:rPr>
      </w:pPr>
    </w:p>
    <w:p>
      <w:pPr>
        <w:pStyle w:val="8"/>
        <w:tabs>
          <w:tab w:val="left" w:pos="479"/>
          <w:tab w:val="left" w:pos="959"/>
        </w:tabs>
        <w:spacing w:before="67"/>
        <w:ind w:right="898"/>
        <w:jc w:val="right"/>
      </w:pPr>
      <w:r>
        <w:t>年</w:t>
      </w:r>
      <w:r>
        <w:tab/>
      </w:r>
      <w:r>
        <w:t>月</w:t>
      </w:r>
      <w:r>
        <w:tab/>
      </w:r>
      <w:r>
        <w:t>日</w:t>
      </w:r>
    </w:p>
    <w:p>
      <w:pPr>
        <w:spacing w:line="480" w:lineRule="exact"/>
        <w:ind w:hanging="13"/>
        <w:jc w:val="center"/>
        <w:rPr>
          <w:color w:val="FF0000"/>
          <w:sz w:val="24"/>
          <w:szCs w:val="24"/>
        </w:rPr>
      </w:pPr>
      <w:r>
        <w:rPr>
          <w:rFonts w:hint="eastAsia"/>
          <w:color w:val="FF0000"/>
          <w:sz w:val="24"/>
          <w:szCs w:val="24"/>
        </w:rPr>
        <w:br w:type="page"/>
      </w:r>
    </w:p>
    <w:p>
      <w:pPr>
        <w:pStyle w:val="3"/>
        <w:ind w:left="0"/>
        <w:jc w:val="center"/>
      </w:pPr>
      <w:bookmarkStart w:id="57" w:name="_Toc24570_WPSOffice_Level1"/>
      <w:r>
        <w:t>附件七：技术文件</w:t>
      </w:r>
      <w:bookmarkEnd w:id="57"/>
    </w:p>
    <w:p>
      <w:pPr>
        <w:pStyle w:val="8"/>
        <w:spacing w:before="149"/>
        <w:rPr>
          <w:b/>
          <w:bCs/>
          <w:sz w:val="28"/>
          <w:szCs w:val="28"/>
        </w:rPr>
      </w:pPr>
      <w:bookmarkStart w:id="58" w:name="_Toc19431_WPSOffice_Level2"/>
      <w:bookmarkStart w:id="59" w:name="_Toc8150_WPSOffice_Level2"/>
      <w:r>
        <w:rPr>
          <w:b/>
          <w:bCs/>
          <w:sz w:val="28"/>
          <w:szCs w:val="28"/>
        </w:rPr>
        <w:t>投标人提交的技术标内容应包括如下内容(但不限于)</w:t>
      </w:r>
      <w:bookmarkEnd w:id="58"/>
      <w:bookmarkEnd w:id="59"/>
    </w:p>
    <w:p>
      <w:pPr>
        <w:spacing w:line="360" w:lineRule="auto"/>
        <w:rPr>
          <w:sz w:val="24"/>
          <w:szCs w:val="24"/>
        </w:rPr>
      </w:pPr>
      <w:r>
        <w:rPr>
          <w:rFonts w:hint="eastAsia"/>
          <w:sz w:val="24"/>
          <w:szCs w:val="24"/>
        </w:rPr>
        <w:t>1、提供中华人民共和国医疗机构执业许可证，提供第三方医学实验室服务综合能力的相关资料。</w:t>
      </w:r>
    </w:p>
    <w:p>
      <w:pPr>
        <w:spacing w:line="360" w:lineRule="auto"/>
        <w:rPr>
          <w:sz w:val="24"/>
          <w:szCs w:val="24"/>
        </w:rPr>
      </w:pPr>
      <w:r>
        <w:rPr>
          <w:rFonts w:hint="eastAsia"/>
          <w:sz w:val="24"/>
          <w:szCs w:val="24"/>
        </w:rPr>
        <w:t>2、提供CAP</w:t>
      </w:r>
      <w:r>
        <w:rPr>
          <w:rFonts w:hint="eastAsia"/>
          <w:sz w:val="24"/>
          <w:szCs w:val="24"/>
          <w:lang w:val="en-US"/>
        </w:rPr>
        <w:t>或</w:t>
      </w:r>
      <w:r>
        <w:rPr>
          <w:rFonts w:hint="eastAsia"/>
          <w:sz w:val="24"/>
          <w:szCs w:val="24"/>
        </w:rPr>
        <w:t>ISO15189认可的第三方医学实验室证件；基因扩增项目有临床基因扩增检验实验室技术审核合格证。</w:t>
      </w:r>
    </w:p>
    <w:p>
      <w:pPr>
        <w:spacing w:line="360" w:lineRule="auto"/>
        <w:rPr>
          <w:sz w:val="24"/>
          <w:szCs w:val="24"/>
        </w:rPr>
      </w:pPr>
      <w:r>
        <w:rPr>
          <w:rFonts w:hint="eastAsia"/>
          <w:sz w:val="24"/>
          <w:szCs w:val="24"/>
        </w:rPr>
        <w:t>3、有完善的质量保证体系文件，标本收集、运输、验收相关的支持文件（</w:t>
      </w:r>
      <w:r>
        <w:rPr>
          <w:rFonts w:hint="eastAsia"/>
          <w:sz w:val="24"/>
          <w:szCs w:val="24"/>
          <w:lang w:val="en-US"/>
        </w:rPr>
        <w:t>特殊运输证件</w:t>
      </w:r>
      <w:r>
        <w:rPr>
          <w:rFonts w:hint="eastAsia"/>
          <w:sz w:val="24"/>
          <w:szCs w:val="24"/>
        </w:rPr>
        <w:t>）。</w:t>
      </w:r>
    </w:p>
    <w:p>
      <w:pPr>
        <w:spacing w:line="360" w:lineRule="auto"/>
        <w:rPr>
          <w:sz w:val="24"/>
          <w:szCs w:val="24"/>
        </w:rPr>
      </w:pPr>
      <w:r>
        <w:rPr>
          <w:rFonts w:hint="eastAsia"/>
          <w:sz w:val="24"/>
          <w:szCs w:val="24"/>
        </w:rPr>
        <w:t>4、提供近三年的实验室室内质控相关的资料、参加国家或省的室间质评相关的材料，未开展室间质评的项目有实验室比对资料。</w:t>
      </w:r>
    </w:p>
    <w:p>
      <w:pPr>
        <w:spacing w:line="360" w:lineRule="auto"/>
        <w:rPr>
          <w:sz w:val="24"/>
          <w:szCs w:val="24"/>
        </w:rPr>
      </w:pPr>
      <w:r>
        <w:rPr>
          <w:rFonts w:hint="eastAsia"/>
          <w:sz w:val="24"/>
          <w:szCs w:val="24"/>
        </w:rPr>
        <w:t>5、我院检验科所有的外包项目必须能独自完成不得转包。</w:t>
      </w:r>
    </w:p>
    <w:p>
      <w:pPr>
        <w:spacing w:line="360" w:lineRule="auto"/>
        <w:rPr>
          <w:sz w:val="24"/>
          <w:szCs w:val="24"/>
        </w:rPr>
      </w:pPr>
      <w:r>
        <w:rPr>
          <w:rFonts w:hint="eastAsia"/>
          <w:sz w:val="24"/>
          <w:szCs w:val="24"/>
        </w:rPr>
        <w:t>6、提供常规项目及特殊项目的报告时限（项目见外包项目清单）。</w:t>
      </w:r>
    </w:p>
    <w:p>
      <w:pPr>
        <w:spacing w:line="360" w:lineRule="auto"/>
        <w:rPr>
          <w:sz w:val="24"/>
          <w:szCs w:val="24"/>
        </w:rPr>
      </w:pPr>
      <w:r>
        <w:rPr>
          <w:rFonts w:hint="eastAsia"/>
          <w:sz w:val="24"/>
          <w:szCs w:val="24"/>
        </w:rPr>
        <w:t>7、有完善的实验室与外包用户的检验结果报告信息系统。</w:t>
      </w:r>
    </w:p>
    <w:p>
      <w:pPr>
        <w:spacing w:line="360" w:lineRule="auto"/>
        <w:rPr>
          <w:sz w:val="24"/>
          <w:szCs w:val="24"/>
        </w:rPr>
      </w:pPr>
      <w:r>
        <w:rPr>
          <w:rFonts w:hint="eastAsia"/>
          <w:sz w:val="24"/>
          <w:szCs w:val="24"/>
        </w:rPr>
        <w:t>8、近5年承担的二级及以上医院的合作协议。</w:t>
      </w:r>
    </w:p>
    <w:p>
      <w:pPr>
        <w:spacing w:line="360" w:lineRule="auto"/>
        <w:rPr>
          <w:sz w:val="24"/>
          <w:szCs w:val="24"/>
        </w:rPr>
      </w:pPr>
      <w:r>
        <w:rPr>
          <w:rFonts w:hint="eastAsia"/>
          <w:sz w:val="24"/>
          <w:szCs w:val="24"/>
        </w:rPr>
        <w:t>9、第三方医学实验室检验项目结算扣率</w:t>
      </w:r>
    </w:p>
    <w:p>
      <w:pPr>
        <w:pStyle w:val="21"/>
        <w:spacing w:line="360" w:lineRule="auto"/>
        <w:ind w:left="0" w:firstLine="0"/>
        <w:rPr>
          <w:sz w:val="24"/>
          <w:szCs w:val="24"/>
          <w:lang w:val="en-US"/>
        </w:rPr>
      </w:pPr>
      <w:r>
        <w:rPr>
          <w:rFonts w:hint="eastAsia"/>
          <w:sz w:val="24"/>
          <w:szCs w:val="24"/>
        </w:rPr>
        <w:t>10、第三方医学实验室严格履行合同。</w:t>
      </w:r>
    </w:p>
    <w:p>
      <w:pPr>
        <w:pStyle w:val="21"/>
        <w:spacing w:line="480" w:lineRule="exact"/>
        <w:ind w:left="0" w:firstLine="0"/>
        <w:rPr>
          <w:sz w:val="24"/>
          <w:szCs w:val="24"/>
          <w:lang w:val="en-US"/>
        </w:rPr>
        <w:sectPr>
          <w:footerReference r:id="rId13" w:type="default"/>
          <w:pgSz w:w="11906" w:h="16838"/>
          <w:pgMar w:top="1440" w:right="1306" w:bottom="1440" w:left="1360" w:header="851" w:footer="992" w:gutter="0"/>
          <w:pgNumType w:fmt="numberInDash" w:start="1"/>
          <w:cols w:space="720" w:num="1"/>
          <w:docGrid w:type="lines" w:linePitch="312" w:charSpace="0"/>
        </w:sectPr>
      </w:pPr>
    </w:p>
    <w:p>
      <w:pPr>
        <w:pStyle w:val="21"/>
        <w:spacing w:line="480" w:lineRule="exact"/>
        <w:ind w:left="0" w:firstLine="0"/>
        <w:rPr>
          <w:sz w:val="24"/>
          <w:szCs w:val="24"/>
          <w:lang w:val="en-US"/>
        </w:rPr>
      </w:pPr>
      <w:r>
        <w:rPr>
          <w:rFonts w:hint="eastAsia"/>
          <w:sz w:val="24"/>
          <w:szCs w:val="24"/>
          <w:lang w:val="en-US"/>
        </w:rPr>
        <w:t>11、报价明细表</w:t>
      </w:r>
    </w:p>
    <w:tbl>
      <w:tblPr>
        <w:tblStyle w:val="18"/>
        <w:tblW w:w="9125" w:type="dxa"/>
        <w:jc w:val="center"/>
        <w:tblInd w:w="4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771"/>
        <w:gridCol w:w="1820"/>
        <w:gridCol w:w="1040"/>
        <w:gridCol w:w="1219"/>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62" w:hRule="atLeast"/>
          <w:jc w:val="center"/>
        </w:trPr>
        <w:tc>
          <w:tcPr>
            <w:tcW w:w="37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名称</w:t>
            </w:r>
          </w:p>
        </w:tc>
        <w:tc>
          <w:tcPr>
            <w:tcW w:w="18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编码</w:t>
            </w:r>
          </w:p>
        </w:tc>
        <w:tc>
          <w:tcPr>
            <w:tcW w:w="10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计算单位</w:t>
            </w:r>
          </w:p>
        </w:tc>
        <w:tc>
          <w:tcPr>
            <w:tcW w:w="121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报告时限</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报价比例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24小时尿儿茶酚胺</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250310024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B淋巴细胞</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2504010312</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B细胞（CD3/CD19）</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250401031AA</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B族链球菌核酸检测</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2504030652</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CA242</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2504040115</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CADASLL病（9序列）</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270700003*9</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人次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DNA倍体分析</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250700012</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例</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HBV核苷类药物耐药基因分析</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250501041A</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HLA-B27测定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250203068D</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IgG抗A效价测定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260000010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IgG抗B效价测定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260000010B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III型前胶原PC-III</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250305026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I型胶原氨基端延长肽（PINP）</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250311005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MPO-ANCA</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250402005C</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NK细胞（CD3/CD16+56）</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250401031A</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T淋巴细胞亚群B细胞NK细胞</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2504010317</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β-胶原降解产物测定(β-CTX)</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250311007</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氨茶碱</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250309005AA</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白血病免疫分型:流式细胞仪法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250201006C</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白血病融合基因分型</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250700017</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苯巴比妥（药物浓度）</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250309005AB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笨妥英钠（药物浓度）</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250309005AC</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丙戊酸（药物浓度）</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250309005AD</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丙型肝炎RNA测定(超高敏定量）</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250403013CC</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丙型肝炎RNA测定:基因分型</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250403013B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丙型肝炎病毒（HCV-RNA）定量</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250403071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产前筛查</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250700010</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例</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7"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超高敏乙肝DNA定量</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250403003A0</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促甲状腺素受体抗体测定:化学发光法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250310017B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促肾上腺皮质激素测定:化学发光法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250310006B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带状疱疹病毒抗体测定IgGIgM</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250403023AA</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单纯疱疹病毒II型抗体IgM</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250403023AB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单纯疱疹病毒I型抗体IgM</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250403023A</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单纯疱疹病毒抗体测定(EV71)</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250403024</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地高辛（药物浓度）</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250309005AE</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0"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风疹病毒IGM</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250403021A</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风疹病毒抗体测定:各种免疫学方法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250403021A</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封闭抗体（BA）</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260000016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复合前列腺特异性抗原(CPSA)测定:化学发光法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250404007B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甘胆酸(CG)检测</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250305029</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干扰素测定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250401013</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高灵敏度丙肝病毒（hcv-rna）定量</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250403013C</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高铁血红蛋白还原试验(MHB—RT)</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250202016</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高铁血红素白蛋白过筛试验</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250202004</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各类病原体DNA测定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250403065</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各种白介素测定:化学发光法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250401014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弓形体抗体测定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250403020A</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钩端螺旋体IgG抗体</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250403056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骨髓染色体核型分析</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270700001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骨髓造血祖细胞培养</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250201005</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还原型血红蛋白溶解度测定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250202022</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呼吸道合胞病毒IgG</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250403026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环孢霉菌A</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250309005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甲状旁腺激素测定:化学发光法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250310009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甲状旁腺素(PTH)测定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250310009B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甲状腺球蛋白(TG)测定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250310053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甲状腺球蛋白抗体(Tg)测定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250310053</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甲状腺微粒体抗体(Tm)测定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250402018B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降钙素测定:化学发光法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250310008B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结核分枝杆菌耐药突变基因检测</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250403065*5</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结核杆菌定性</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250403065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结核感染T细胞斑点试验T-SPOT</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250403065*10</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解脲支原体DNA</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250403065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军团菌抗体测定IgM</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250403042A</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卡马西平（药物浓度）</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250309005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抗HCG抗体</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250402054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抗β2-糖蛋白1抗体测定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250402042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抗肝肾微粒体抗体(LKM)测定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250402040</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抗肝细胞溶质抗原Ⅰ型抗体测定(LC-1)</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250402046</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抗核抗体测定(ANA):定量</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250402002B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抗核糖核蛋白抗体测定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250402010</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抗核糖体抗体测定:定量</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250402009B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抗核提取物抗体测定(抗ENA抗体):免疫印迹法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250402003B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抗核小体抗体测定(AnuA)</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250402044</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抗甲状腺过氧化物酶抗体</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250402017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抗甲状腺球蛋白抗体测定(TGAb):化学发光法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250402017C</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抗甲状腺微粒体抗体测定(TMAb):各种免疫学方法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250402018A</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抗角蛋白抗体(AKA)测定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250402038</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抗结核抗体</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250403042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抗精子抗体测定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250402024</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抗精子抗体定量</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250402024A</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抗可溶性肝抗原/肝-胰抗原抗体(SLA/LP)测定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250402039</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抗淋巴细胞抗体试验</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250401016</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抗磷脂酶A2受体抗体IgG定量PLA2R</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250308008B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抗卵巢抗体</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250402022</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抗卵细胞透明带抗体</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250402043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抗苗勒氏管激素</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250310063*2</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抗平滑肌抗体</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250402014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抗人绒毛膜促性腺激素抗体(AHCGAb)测定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250402054A</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抗肾小球基底膜抗体测定:各种免疫学方法a</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250402019B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抗双链DNA测定(抗dsDNA):定量</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250402006B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抗双链DNA测定(抗dsDNA):定性</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250402006A</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抗透明带抗体(AZP)测定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250402043</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抗线粒体抗体测定(AMA):定性</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250402007A1</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抗线粒体抗体测定(AMA)定量</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250402007B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抗心磷脂抗体测定(ACA)</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250402016</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抗循环瓜氨酸肽(CCP)</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250402041</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抗胰岛素受体抗体测定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250402027</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抗胰岛素自身抗体</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250402026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抗乙酰胆碱受体抗体测定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250402028</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抗载脂蛋白抗体测定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250402033</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抗中性粒细胞胞浆抗体测定(PANCA)</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250402005A</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抗中性粒细胞胞浆抗体测定ANCA</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250402005B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抗滋养层细胞膜抗体</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250401004</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抗子宫内膜抗体</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250402023B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抗子宫内膜抗体测定(EMAb)</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250402023</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抗组蛋白抗体(AHA)测定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250402049</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抗组织细胞抗体测定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250402014</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雷帕霉素浓度</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250309005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鳞癌细胞抗原SCC</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250404012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免疫球蛋白亚类IgG4</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250401033A</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尿17-羟皮质类固醇测定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250310020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尿17-酮类固醇测定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250310021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尿香草扁桃酸酸(VMA)测定:色谱法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250310025A</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培养细胞的染色体分析</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250700014</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普乐可复浓度</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250309005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脐血染色体检查</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250700005</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醛固酮测定:各种免疫学方法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250310023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人类白细胞抗原HLA-B5801测定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250203068C</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沙眼衣原体(PCR法)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250403065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肾素定量</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250310026B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脱氧核糖核酸(DNA)倍体分析</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250701012</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脱氧核糖核酸（DNA）测序</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270700003</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脱氧核糖核酸抗体(Anti-DNA)测定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250402006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外周血细胞染色体核型分析</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250400014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外周血细胞染色体检查</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250700001</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维生素A测定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2503090041</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维生素B12</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2503050042</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维生素D测定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250309001A</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胃蛋白酶原</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250404014A</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胃泌素17</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CERY1000</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无创DNA产前检测</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270700003*14</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细胞周期分析</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CACJ8000</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线粒体DNA全长测序</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270700003*29</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人次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线粒体相关基因（LHON)测序</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270700003*7</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人次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腺病毒IgM抗体</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250403031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血儿茶酚胺</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250310024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血管紧张素Ⅱ测定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250310028B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血红蛋白A2测定(HbA2)</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250202027</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血浆皮质醇测定:化学发光法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250310018B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血浆乳酸测定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250302008</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血浆肾素活性测定:放免法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250310026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血清Ⅲ型胶原测定:化学发光法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250305019B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血清Ⅳ型胶原测定:化学发光法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250305018B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血清层粘连蛋白测定(化学发光法)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250305020B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血清促肾上腺皮质激素测定(化学发光法）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250310006B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血清反T3测定:各种免疫学方法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250310012A</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血清骨钙素测定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250308008A</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血清骨型碱性磷酸酶质量测定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250305013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血清甲状腺结合球蛋白测定:化学发光法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250310016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血清抗谷氨酸脱羧酶抗体测定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250310043</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血清生长激素测定:化学发光法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250310003B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血清铁</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250301008A</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血清铁蛋白测定:化学发光法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250301008B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血清透明质酸酶测定(化学发光法)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250305022B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血清透明质酸酶测定:放免法或酶免法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250305022A</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血清维生素测定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250309004</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每种维生素</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血清胰岛素测定:化学发光法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250310039B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60"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血清转铁蛋白测定:免疫比浊法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250301007A</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血清总铁结合力测定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250304008</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血小板相关免疫球蛋白(PAIg)测定:流式细胞仪法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250203001B</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叶酸测定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250309003</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胰岛素抗体(Anti-INS)测定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250402026B1</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胰岛素样生长因子-1</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2503100031</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胰岛素样生长因子结合蛋白3</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2503100032</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胰岛细胞抗体</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250402014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遗传代谢病检测</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250309007A</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乙肝拉米呋啶耐药基因检测</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xml:space="preserve">250501041 </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乙型肝炎e抗体测定(Anti-HBe)定量</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250403007c</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乙型肝炎e抗原测定(HBeAg)定量</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250403006c</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乙型肝炎表面抗体测定(Anti-HBs)定量</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250403005c</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乙型肝炎表面抗原测定(HBsAg)定量</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250403004c</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乙型肝炎核心抗体测定(Anti-HBc)定量</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250403009c</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次</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39"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肿瘤坏死因子测定(TNF):化学发光法</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250404013</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20" w:hRule="atLeast"/>
          <w:jc w:val="center"/>
        </w:trPr>
        <w:tc>
          <w:tcPr>
            <w:tcW w:w="3771"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总IgE测定</w:t>
            </w:r>
          </w:p>
        </w:tc>
        <w:tc>
          <w:tcPr>
            <w:tcW w:w="182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250405001</w:t>
            </w:r>
          </w:p>
        </w:tc>
        <w:tc>
          <w:tcPr>
            <w:tcW w:w="1040"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项</w:t>
            </w:r>
          </w:p>
        </w:tc>
        <w:tc>
          <w:tcPr>
            <w:tcW w:w="1219" w:type="dxa"/>
            <w:tcBorders>
              <w:top w:val="nil"/>
              <w:left w:val="nil"/>
              <w:bottom w:val="single" w:color="auto" w:sz="4" w:space="0"/>
              <w:right w:val="single" w:color="auto" w:sz="4" w:space="0"/>
            </w:tcBorders>
            <w:vAlign w:val="center"/>
          </w:tcPr>
          <w:p>
            <w:pPr>
              <w:widowControl/>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c>
          <w:tcPr>
            <w:tcW w:w="1275" w:type="dxa"/>
            <w:tcBorders>
              <w:top w:val="nil"/>
              <w:left w:val="nil"/>
              <w:bottom w:val="single" w:color="auto" w:sz="4" w:space="0"/>
              <w:right w:val="single" w:color="auto" w:sz="4" w:space="0"/>
            </w:tcBorders>
            <w:vAlign w:val="center"/>
          </w:tcPr>
          <w:p>
            <w:pPr>
              <w:widowControl/>
              <w:jc w:val="right"/>
              <w:rPr>
                <w:rFonts w:ascii="Times New Roman" w:hAnsi="Times New Roman" w:cs="Times New Roman"/>
                <w:color w:val="000000"/>
                <w:sz w:val="18"/>
                <w:szCs w:val="18"/>
                <w:lang w:val="en-US" w:bidi="ar-SA"/>
              </w:rPr>
            </w:pPr>
            <w:r>
              <w:rPr>
                <w:rFonts w:hint="eastAsia" w:ascii="Times New Roman" w:hAnsi="Times New Roman" w:cs="Times New Roman"/>
                <w:color w:val="000000"/>
                <w:sz w:val="18"/>
                <w:szCs w:val="18"/>
                <w:lang w:val="en-US" w:bidi="ar-SA"/>
              </w:rPr>
              <w:t>　</w:t>
            </w:r>
          </w:p>
        </w:tc>
      </w:tr>
    </w:tbl>
    <w:p>
      <w:pPr>
        <w:pStyle w:val="21"/>
        <w:spacing w:line="480" w:lineRule="exact"/>
        <w:ind w:left="0" w:firstLine="480" w:firstLineChars="200"/>
        <w:rPr>
          <w:sz w:val="24"/>
          <w:szCs w:val="24"/>
          <w:lang w:val="en-US"/>
        </w:rPr>
      </w:pPr>
      <w:r>
        <w:rPr>
          <w:rFonts w:hint="eastAsia"/>
          <w:sz w:val="24"/>
          <w:szCs w:val="24"/>
          <w:lang w:val="en-US"/>
        </w:rPr>
        <w:t>其中：</w:t>
      </w:r>
    </w:p>
    <w:p>
      <w:pPr>
        <w:ind w:firstLine="442" w:firstLineChars="200"/>
        <w:rPr>
          <w:rFonts w:hint="eastAsia"/>
          <w:b/>
          <w:bCs/>
          <w:highlight w:val="yellow"/>
        </w:rPr>
      </w:pPr>
      <w:bookmarkStart w:id="60" w:name="_Toc32055_WPSOffice_Level1"/>
      <w:r>
        <w:rPr>
          <w:rFonts w:hint="eastAsia"/>
          <w:b/>
          <w:bCs/>
          <w:highlight w:val="yellow"/>
        </w:rPr>
        <w:t>注：</w:t>
      </w:r>
    </w:p>
    <w:p>
      <w:pPr>
        <w:ind w:firstLine="442" w:firstLineChars="200"/>
      </w:pPr>
      <w:r>
        <w:rPr>
          <w:rFonts w:hint="eastAsia"/>
          <w:b/>
          <w:bCs/>
          <w:highlight w:val="yellow"/>
        </w:rPr>
        <w:t>1、以上所有检测项目均需</w:t>
      </w:r>
      <w:r>
        <w:rPr>
          <w:rFonts w:hint="eastAsia"/>
          <w:b/>
          <w:bCs/>
          <w:color w:val="FF0000"/>
          <w:highlight w:val="yellow"/>
        </w:rPr>
        <w:t>填写报告时限，报价为总扣率，不可单项目报价</w:t>
      </w:r>
      <w:r>
        <w:rPr>
          <w:rFonts w:hint="eastAsia"/>
          <w:b/>
          <w:bCs/>
          <w:highlight w:val="yellow"/>
        </w:rPr>
        <w:t>，否则视为无效投标</w:t>
      </w:r>
    </w:p>
    <w:p>
      <w:pPr>
        <w:pStyle w:val="2"/>
        <w:widowControl/>
        <w:shd w:val="clear" w:color="070000" w:fill="FCFCFC"/>
        <w:wordWrap w:val="0"/>
        <w:spacing w:before="0" w:line="360" w:lineRule="exact"/>
        <w:ind w:right="440" w:rightChars="200" w:firstLine="442" w:firstLineChars="200"/>
        <w:jc w:val="left"/>
        <w:rPr>
          <w:rFonts w:hint="eastAsia"/>
          <w:sz w:val="22"/>
          <w:szCs w:val="22"/>
          <w:highlight w:val="yellow"/>
        </w:rPr>
      </w:pPr>
      <w:r>
        <w:rPr>
          <w:rFonts w:hint="eastAsia"/>
          <w:sz w:val="22"/>
          <w:szCs w:val="22"/>
          <w:highlight w:val="yellow"/>
        </w:rPr>
        <w:t>2、收费依据：</w:t>
      </w:r>
    </w:p>
    <w:p>
      <w:pPr>
        <w:pStyle w:val="2"/>
        <w:widowControl/>
        <w:shd w:val="clear" w:color="070000" w:fill="FCFCFC"/>
        <w:wordWrap w:val="0"/>
        <w:spacing w:before="0" w:line="360" w:lineRule="exact"/>
        <w:ind w:right="440" w:rightChars="200" w:firstLine="442" w:firstLineChars="200"/>
        <w:jc w:val="left"/>
        <w:rPr>
          <w:sz w:val="22"/>
          <w:szCs w:val="22"/>
          <w:highlight w:val="yellow"/>
        </w:rPr>
      </w:pPr>
      <w:r>
        <w:rPr>
          <w:rFonts w:hint="eastAsia"/>
          <w:sz w:val="22"/>
          <w:szCs w:val="22"/>
          <w:highlight w:val="yellow"/>
        </w:rPr>
        <w:t>（</w:t>
      </w:r>
      <w:r>
        <w:rPr>
          <w:rFonts w:hint="eastAsia"/>
          <w:sz w:val="22"/>
          <w:szCs w:val="22"/>
          <w:highlight w:val="yellow"/>
          <w:lang w:val="en-US"/>
        </w:rPr>
        <w:t>1</w:t>
      </w:r>
      <w:r>
        <w:rPr>
          <w:rFonts w:hint="eastAsia"/>
          <w:sz w:val="22"/>
          <w:szCs w:val="22"/>
          <w:highlight w:val="yellow"/>
        </w:rPr>
        <w:t>）《山东省驻济部、省属医疗机构医疗服务价格(中医及民族医诊疗类)》(鲁价费发(2008)121号)</w:t>
      </w:r>
    </w:p>
    <w:p>
      <w:pPr>
        <w:pStyle w:val="13"/>
        <w:widowControl/>
        <w:shd w:val="clear" w:color="070000" w:fill="FFFFFF"/>
        <w:spacing w:after="105" w:line="360" w:lineRule="exact"/>
        <w:ind w:firstLine="420"/>
        <w:jc w:val="center"/>
        <w:rPr>
          <w:b/>
          <w:bCs/>
          <w:sz w:val="28"/>
          <w:szCs w:val="28"/>
          <w:highlight w:val="yellow"/>
        </w:rPr>
      </w:pPr>
      <w:r>
        <w:rPr>
          <w:rFonts w:hint="eastAsia" w:cs="宋体"/>
          <w:b/>
          <w:bCs/>
          <w:sz w:val="22"/>
          <w:highlight w:val="yellow"/>
          <w:lang w:val="zh-CN" w:bidi="zh-CN"/>
        </w:rPr>
        <w:t>（</w:t>
      </w:r>
      <w:r>
        <w:rPr>
          <w:rFonts w:hint="eastAsia" w:cs="宋体"/>
          <w:b/>
          <w:bCs/>
          <w:sz w:val="22"/>
          <w:highlight w:val="yellow"/>
          <w:lang w:bidi="zh-CN"/>
        </w:rPr>
        <w:t>2</w:t>
      </w:r>
      <w:r>
        <w:rPr>
          <w:rFonts w:hint="eastAsia" w:cs="宋体"/>
          <w:b/>
          <w:bCs/>
          <w:sz w:val="22"/>
          <w:highlight w:val="yellow"/>
          <w:lang w:val="zh-CN" w:bidi="zh-CN"/>
        </w:rPr>
        <w:t>）</w:t>
      </w:r>
      <w:r>
        <w:rPr>
          <w:rFonts w:cs="宋体"/>
          <w:b/>
          <w:bCs/>
          <w:sz w:val="22"/>
          <w:highlight w:val="yellow"/>
          <w:lang w:val="zh-CN" w:bidi="zh-CN"/>
        </w:rPr>
        <w:t>关于印发《山东省医疗服务价格管理办法》的通知鲁价费发〔2008〕129号</w:t>
      </w:r>
    </w:p>
    <w:p>
      <w:pPr>
        <w:pStyle w:val="3"/>
        <w:spacing w:after="21"/>
        <w:ind w:left="0"/>
        <w:jc w:val="center"/>
      </w:pPr>
      <w:r>
        <w:br w:type="page"/>
      </w:r>
    </w:p>
    <w:p>
      <w:pPr>
        <w:pStyle w:val="3"/>
        <w:spacing w:after="21"/>
        <w:ind w:left="0"/>
        <w:jc w:val="center"/>
      </w:pPr>
      <w:r>
        <w:t>附件八：评标评分办法</w:t>
      </w:r>
      <w:bookmarkEnd w:id="60"/>
    </w:p>
    <w:tbl>
      <w:tblPr>
        <w:tblStyle w:val="18"/>
        <w:tblW w:w="10884" w:type="dxa"/>
        <w:tblInd w:w="-7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65"/>
        <w:gridCol w:w="1050"/>
        <w:gridCol w:w="750"/>
        <w:gridCol w:w="7440"/>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3" w:hRule="atLeast"/>
        </w:trPr>
        <w:tc>
          <w:tcPr>
            <w:tcW w:w="665" w:type="dxa"/>
            <w:vAlign w:val="center"/>
          </w:tcPr>
          <w:p>
            <w:pPr>
              <w:spacing w:line="360" w:lineRule="auto"/>
              <w:jc w:val="center"/>
              <w:rPr>
                <w:rFonts w:ascii="Times New Roman" w:hAnsi="Times New Roman" w:cs="Times New Roman"/>
                <w:sz w:val="20"/>
                <w:szCs w:val="20"/>
              </w:rPr>
            </w:pPr>
            <w:r>
              <w:rPr>
                <w:rFonts w:hint="eastAsia" w:ascii="Times New Roman" w:hAnsi="Times New Roman" w:cs="Times New Roman"/>
                <w:sz w:val="20"/>
                <w:szCs w:val="20"/>
              </w:rPr>
              <w:t>序号</w:t>
            </w:r>
          </w:p>
        </w:tc>
        <w:tc>
          <w:tcPr>
            <w:tcW w:w="1050" w:type="dxa"/>
            <w:vAlign w:val="center"/>
          </w:tcPr>
          <w:p>
            <w:pPr>
              <w:jc w:val="center"/>
              <w:rPr>
                <w:rFonts w:ascii="Times New Roman" w:hAnsi="Times New Roman" w:cs="Times New Roman"/>
                <w:sz w:val="20"/>
                <w:szCs w:val="20"/>
              </w:rPr>
            </w:pPr>
            <w:r>
              <w:rPr>
                <w:rFonts w:hint="eastAsia" w:ascii="Times New Roman" w:hAnsi="Times New Roman" w:cs="Times New Roman"/>
                <w:sz w:val="20"/>
                <w:szCs w:val="20"/>
              </w:rPr>
              <w:t>评分因素及权重</w:t>
            </w:r>
          </w:p>
        </w:tc>
        <w:tc>
          <w:tcPr>
            <w:tcW w:w="750" w:type="dxa"/>
            <w:vAlign w:val="center"/>
          </w:tcPr>
          <w:p>
            <w:pPr>
              <w:spacing w:line="360" w:lineRule="auto"/>
              <w:jc w:val="center"/>
              <w:rPr>
                <w:rFonts w:ascii="Times New Roman" w:hAnsi="Times New Roman" w:cs="Times New Roman"/>
                <w:sz w:val="20"/>
                <w:szCs w:val="20"/>
              </w:rPr>
            </w:pPr>
            <w:r>
              <w:rPr>
                <w:rFonts w:hint="eastAsia" w:ascii="Times New Roman" w:hAnsi="Times New Roman" w:cs="Times New Roman"/>
                <w:sz w:val="20"/>
                <w:szCs w:val="20"/>
              </w:rPr>
              <w:t>分值</w:t>
            </w:r>
          </w:p>
        </w:tc>
        <w:tc>
          <w:tcPr>
            <w:tcW w:w="7440" w:type="dxa"/>
            <w:vAlign w:val="center"/>
          </w:tcPr>
          <w:p>
            <w:pPr>
              <w:spacing w:line="360" w:lineRule="auto"/>
              <w:jc w:val="center"/>
              <w:rPr>
                <w:rFonts w:ascii="Times New Roman" w:hAnsi="Times New Roman" w:cs="Times New Roman"/>
                <w:sz w:val="20"/>
                <w:szCs w:val="20"/>
              </w:rPr>
            </w:pPr>
            <w:r>
              <w:rPr>
                <w:rFonts w:hint="eastAsia" w:ascii="Times New Roman" w:hAnsi="Times New Roman" w:cs="Times New Roman"/>
                <w:sz w:val="20"/>
                <w:szCs w:val="20"/>
              </w:rPr>
              <w:t>评分标准</w:t>
            </w:r>
          </w:p>
        </w:tc>
        <w:tc>
          <w:tcPr>
            <w:tcW w:w="979" w:type="dxa"/>
            <w:vAlign w:val="center"/>
          </w:tcPr>
          <w:p>
            <w:pPr>
              <w:spacing w:line="360" w:lineRule="auto"/>
              <w:jc w:val="center"/>
              <w:rPr>
                <w:rFonts w:ascii="Times New Roman" w:hAnsi="Times New Roman" w:cs="Times New Roman"/>
                <w:sz w:val="20"/>
                <w:szCs w:val="20"/>
              </w:rPr>
            </w:pPr>
            <w:r>
              <w:rPr>
                <w:rFonts w:hint="eastAsia" w:ascii="Times New Roman" w:hAnsi="Times New Roman" w:cs="Times New Roman"/>
                <w:sz w:val="20"/>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31" w:hRule="atLeast"/>
        </w:trPr>
        <w:tc>
          <w:tcPr>
            <w:tcW w:w="665" w:type="dxa"/>
            <w:vAlign w:val="center"/>
          </w:tcPr>
          <w:p>
            <w:pPr>
              <w:spacing w:line="360" w:lineRule="auto"/>
              <w:jc w:val="center"/>
              <w:rPr>
                <w:rFonts w:ascii="Times New Roman" w:hAnsi="Times New Roman" w:cs="Times New Roman"/>
                <w:sz w:val="20"/>
                <w:szCs w:val="20"/>
                <w:lang w:val="en-US"/>
              </w:rPr>
            </w:pPr>
            <w:r>
              <w:rPr>
                <w:rFonts w:hint="eastAsia" w:ascii="Times New Roman" w:hAnsi="Times New Roman" w:cs="Times New Roman"/>
                <w:sz w:val="20"/>
                <w:szCs w:val="20"/>
                <w:lang w:val="en-US"/>
              </w:rPr>
              <w:t>1</w:t>
            </w:r>
          </w:p>
        </w:tc>
        <w:tc>
          <w:tcPr>
            <w:tcW w:w="1050" w:type="dxa"/>
            <w:vAlign w:val="center"/>
          </w:tcPr>
          <w:p>
            <w:pPr>
              <w:spacing w:line="360" w:lineRule="auto"/>
              <w:jc w:val="center"/>
              <w:rPr>
                <w:rFonts w:ascii="Times New Roman" w:hAnsi="Times New Roman" w:cs="Times New Roman"/>
                <w:sz w:val="20"/>
                <w:szCs w:val="20"/>
                <w:lang w:val="en-US"/>
              </w:rPr>
            </w:pPr>
            <w:r>
              <w:rPr>
                <w:rFonts w:hint="eastAsia" w:ascii="Times New Roman" w:hAnsi="Times New Roman" w:cs="Times New Roman"/>
                <w:sz w:val="20"/>
                <w:szCs w:val="20"/>
              </w:rPr>
              <w:t>报价</w:t>
            </w:r>
          </w:p>
        </w:tc>
        <w:tc>
          <w:tcPr>
            <w:tcW w:w="750" w:type="dxa"/>
            <w:vAlign w:val="center"/>
          </w:tcPr>
          <w:p>
            <w:pPr>
              <w:spacing w:line="360" w:lineRule="auto"/>
              <w:jc w:val="center"/>
              <w:rPr>
                <w:rFonts w:ascii="Times New Roman" w:hAnsi="Times New Roman" w:cs="Times New Roman"/>
                <w:sz w:val="20"/>
                <w:szCs w:val="20"/>
                <w:lang w:val="en-US"/>
              </w:rPr>
            </w:pPr>
            <w:r>
              <w:rPr>
                <w:rFonts w:hint="eastAsia" w:ascii="Times New Roman" w:hAnsi="Times New Roman" w:cs="Times New Roman"/>
                <w:sz w:val="20"/>
                <w:szCs w:val="20"/>
                <w:lang w:val="en-US"/>
              </w:rPr>
              <w:t>30</w:t>
            </w:r>
          </w:p>
        </w:tc>
        <w:tc>
          <w:tcPr>
            <w:tcW w:w="7440" w:type="dxa"/>
            <w:vAlign w:val="center"/>
          </w:tcPr>
          <w:p>
            <w:pPr>
              <w:pStyle w:val="20"/>
              <w:spacing w:before="114"/>
              <w:ind w:left="108"/>
              <w:jc w:val="both"/>
              <w:rPr>
                <w:rFonts w:ascii="Times New Roman" w:hAnsi="Times New Roman" w:cs="Times New Roman"/>
                <w:sz w:val="20"/>
                <w:szCs w:val="20"/>
                <w:lang w:val="en-US"/>
              </w:rPr>
            </w:pPr>
            <w:r>
              <w:rPr>
                <w:rFonts w:hint="eastAsia" w:ascii="Times New Roman" w:hAnsi="Times New Roman" w:cs="Times New Roman"/>
                <w:sz w:val="20"/>
                <w:szCs w:val="20"/>
                <w:lang w:val="en-US"/>
              </w:rPr>
              <w:t>各投标人报价与评标基准值 p 值相等的，得基本分 30 分；每高于p 值 1%（商值）时，在基本分基础上减 0.5 分，最低得 0 分；</w:t>
            </w:r>
            <w:r>
              <w:rPr>
                <w:rFonts w:hint="eastAsia" w:ascii="Times New Roman" w:hAnsi="Times New Roman" w:cs="Times New Roman"/>
                <w:color w:val="FF0000"/>
                <w:sz w:val="20"/>
                <w:szCs w:val="20"/>
                <w:lang w:val="en-US"/>
              </w:rPr>
              <w:t>每低于 p 值 1％（商值）时，在基本分基础上减 0.25 分，最低得 0 分。</w:t>
            </w:r>
            <w:r>
              <w:rPr>
                <w:rFonts w:hint="eastAsia" w:ascii="Times New Roman" w:hAnsi="Times New Roman" w:cs="Times New Roman"/>
                <w:sz w:val="20"/>
                <w:szCs w:val="20"/>
                <w:lang w:val="en-US"/>
              </w:rPr>
              <w:t>（不足 1%的按插入法计算保留小数点后两位有效数字）。评标基准值 P 的确定：</w:t>
            </w:r>
          </w:p>
          <w:p>
            <w:pPr>
              <w:pStyle w:val="20"/>
              <w:spacing w:before="1"/>
              <w:ind w:left="108"/>
              <w:jc w:val="both"/>
              <w:rPr>
                <w:rFonts w:ascii="Times New Roman" w:hAnsi="Times New Roman" w:cs="Times New Roman"/>
                <w:sz w:val="20"/>
                <w:szCs w:val="20"/>
                <w:lang w:val="en-US"/>
              </w:rPr>
            </w:pPr>
            <w:r>
              <w:rPr>
                <w:rFonts w:hint="eastAsia" w:ascii="Times New Roman" w:hAnsi="Times New Roman" w:cs="Times New Roman"/>
                <w:sz w:val="20"/>
                <w:szCs w:val="20"/>
                <w:lang w:val="en-US"/>
              </w:rPr>
              <w:t>当投标人 N≤5 家时，则所有投标人的有效投标报价最低值为P 值；</w:t>
            </w:r>
          </w:p>
          <w:p>
            <w:pPr>
              <w:pStyle w:val="20"/>
              <w:ind w:left="108" w:right="96"/>
              <w:jc w:val="both"/>
              <w:rPr>
                <w:rFonts w:ascii="Times New Roman" w:hAnsi="Times New Roman" w:cs="Times New Roman"/>
                <w:sz w:val="20"/>
                <w:szCs w:val="20"/>
                <w:lang w:val="en-US"/>
              </w:rPr>
            </w:pPr>
            <w:r>
              <w:rPr>
                <w:rFonts w:hint="eastAsia" w:ascii="Times New Roman" w:hAnsi="Times New Roman" w:cs="Times New Roman"/>
                <w:sz w:val="20"/>
                <w:szCs w:val="20"/>
                <w:lang w:val="en-US"/>
              </w:rPr>
              <w:t>当投标人 5＜N≤10 家时，则所有投标人的有效投标报价去掉一个最高，一个最低后的算术平均值为 P 值；</w:t>
            </w:r>
          </w:p>
          <w:p>
            <w:pPr>
              <w:pStyle w:val="20"/>
              <w:spacing w:before="1"/>
              <w:ind w:left="108"/>
              <w:jc w:val="both"/>
              <w:rPr>
                <w:rFonts w:ascii="Times New Roman" w:hAnsi="Times New Roman" w:cs="Times New Roman"/>
                <w:sz w:val="20"/>
                <w:szCs w:val="20"/>
                <w:lang w:val="en-US"/>
              </w:rPr>
            </w:pPr>
            <w:r>
              <w:rPr>
                <w:rFonts w:hint="eastAsia" w:ascii="Times New Roman" w:hAnsi="Times New Roman" w:cs="Times New Roman"/>
                <w:sz w:val="20"/>
                <w:szCs w:val="20"/>
                <w:lang w:val="en-US"/>
              </w:rPr>
              <w:t>当投标人 N&gt;10 家时，则所有投标人的有效投标报价去掉两个最高，两个最低后的算术平均值为 P 值。</w:t>
            </w:r>
          </w:p>
          <w:p>
            <w:pPr>
              <w:pStyle w:val="20"/>
              <w:spacing w:before="1"/>
              <w:ind w:left="108"/>
              <w:jc w:val="both"/>
              <w:rPr>
                <w:rFonts w:ascii="Times New Roman" w:hAnsi="Times New Roman" w:cs="Times New Roman"/>
                <w:sz w:val="20"/>
                <w:szCs w:val="20"/>
                <w:lang w:val="en-US"/>
              </w:rPr>
            </w:pPr>
            <w:r>
              <w:rPr>
                <w:rFonts w:hint="eastAsia" w:ascii="Times New Roman" w:hAnsi="Times New Roman" w:cs="Times New Roman"/>
                <w:sz w:val="20"/>
                <w:szCs w:val="20"/>
                <w:lang w:val="en-US"/>
              </w:rPr>
              <w:t>投标报价最高报价比例为50%，超出即按废标处理。</w:t>
            </w:r>
          </w:p>
        </w:tc>
        <w:tc>
          <w:tcPr>
            <w:tcW w:w="979" w:type="dxa"/>
            <w:vAlign w:val="center"/>
          </w:tcPr>
          <w:p>
            <w:pPr>
              <w:jc w:val="both"/>
              <w:rPr>
                <w:rFonts w:ascii="Times New Roman" w:hAnsi="Times New Roman" w:cs="Times New Roman"/>
                <w:sz w:val="20"/>
                <w:szCs w:val="20"/>
              </w:rPr>
            </w:pPr>
            <w:r>
              <w:rPr>
                <w:rFonts w:hint="eastAsia" w:ascii="Times New Roman" w:hAnsi="Times New Roman" w:cs="Times New Roman"/>
                <w:sz w:val="20"/>
                <w:szCs w:val="20"/>
                <w:lang w:val="en-US"/>
              </w:rPr>
              <w:t>公司报价（百分比保留两位小数）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36" w:hRule="atLeast"/>
        </w:trPr>
        <w:tc>
          <w:tcPr>
            <w:tcW w:w="665" w:type="dxa"/>
            <w:shd w:val="clear" w:color="auto" w:fill="auto"/>
            <w:vAlign w:val="center"/>
          </w:tcPr>
          <w:p>
            <w:pPr>
              <w:spacing w:line="360" w:lineRule="auto"/>
              <w:jc w:val="center"/>
              <w:rPr>
                <w:rFonts w:ascii="Times New Roman" w:hAnsi="Times New Roman" w:cs="Times New Roman"/>
                <w:sz w:val="20"/>
                <w:szCs w:val="20"/>
              </w:rPr>
            </w:pPr>
            <w:r>
              <w:rPr>
                <w:rFonts w:hint="eastAsia" w:ascii="Times New Roman" w:hAnsi="Times New Roman" w:cs="Times New Roman"/>
                <w:sz w:val="20"/>
                <w:szCs w:val="20"/>
              </w:rPr>
              <w:t>2</w:t>
            </w:r>
          </w:p>
        </w:tc>
        <w:tc>
          <w:tcPr>
            <w:tcW w:w="1050" w:type="dxa"/>
            <w:shd w:val="clear" w:color="auto" w:fill="auto"/>
            <w:vAlign w:val="center"/>
          </w:tcPr>
          <w:p>
            <w:pPr>
              <w:ind w:firstLine="450" w:firstLineChars="225"/>
              <w:jc w:val="center"/>
              <w:rPr>
                <w:rFonts w:ascii="Times New Roman" w:hAnsi="Times New Roman" w:cs="Times New Roman"/>
                <w:sz w:val="20"/>
                <w:szCs w:val="20"/>
              </w:rPr>
            </w:pPr>
          </w:p>
          <w:p>
            <w:pPr>
              <w:jc w:val="center"/>
              <w:rPr>
                <w:rFonts w:ascii="Times New Roman" w:hAnsi="Times New Roman" w:cs="Times New Roman"/>
                <w:sz w:val="20"/>
                <w:szCs w:val="20"/>
              </w:rPr>
            </w:pPr>
            <w:r>
              <w:rPr>
                <w:rFonts w:hint="eastAsia" w:ascii="Times New Roman" w:hAnsi="Times New Roman" w:cs="Times New Roman"/>
                <w:b/>
                <w:bCs/>
                <w:sz w:val="20"/>
                <w:szCs w:val="20"/>
                <w:lang w:val="en-US"/>
              </w:rPr>
              <w:t>项目对应第三方检验机构技术要求</w:t>
            </w:r>
          </w:p>
        </w:tc>
        <w:tc>
          <w:tcPr>
            <w:tcW w:w="750" w:type="dxa"/>
            <w:shd w:val="clear" w:color="auto" w:fill="auto"/>
            <w:vAlign w:val="center"/>
          </w:tcPr>
          <w:p>
            <w:pPr>
              <w:spacing w:line="360" w:lineRule="auto"/>
              <w:ind w:firstLine="450" w:firstLineChars="225"/>
              <w:jc w:val="center"/>
              <w:rPr>
                <w:rFonts w:ascii="Times New Roman" w:hAnsi="Times New Roman" w:cs="Times New Roman"/>
                <w:sz w:val="20"/>
                <w:szCs w:val="20"/>
              </w:rPr>
            </w:pPr>
          </w:p>
          <w:p>
            <w:pPr>
              <w:spacing w:line="360" w:lineRule="auto"/>
              <w:jc w:val="center"/>
              <w:rPr>
                <w:rFonts w:ascii="Times New Roman" w:hAnsi="Times New Roman" w:cs="Times New Roman"/>
                <w:sz w:val="20"/>
                <w:szCs w:val="20"/>
                <w:lang w:val="en-US"/>
              </w:rPr>
            </w:pPr>
            <w:r>
              <w:rPr>
                <w:rFonts w:hint="eastAsia" w:ascii="Times New Roman" w:hAnsi="Times New Roman" w:cs="Times New Roman"/>
                <w:sz w:val="20"/>
                <w:szCs w:val="20"/>
                <w:lang w:val="en-US"/>
              </w:rPr>
              <w:t>56</w:t>
            </w:r>
          </w:p>
        </w:tc>
        <w:tc>
          <w:tcPr>
            <w:tcW w:w="7440" w:type="dxa"/>
            <w:shd w:val="clear" w:color="auto" w:fill="FFFFFF"/>
            <w:vAlign w:val="center"/>
          </w:tcPr>
          <w:p>
            <w:pPr>
              <w:pStyle w:val="20"/>
              <w:spacing w:before="114"/>
              <w:ind w:left="108"/>
              <w:jc w:val="both"/>
              <w:rPr>
                <w:rFonts w:ascii="Times New Roman" w:hAnsi="Times New Roman" w:cs="Times New Roman"/>
                <w:sz w:val="20"/>
                <w:szCs w:val="20"/>
                <w:lang w:val="en-US"/>
              </w:rPr>
            </w:pPr>
            <w:r>
              <w:rPr>
                <w:rFonts w:hint="eastAsia" w:ascii="Times New Roman" w:hAnsi="Times New Roman" w:cs="Times New Roman"/>
                <w:sz w:val="20"/>
                <w:szCs w:val="20"/>
                <w:lang w:val="en-US"/>
              </w:rPr>
              <w:t>1、提供中华人民共和国医疗机构执业许可证，提供第三方医学实验室服务综合能力的相关资料，优秀得8-6分，良得5-3分，差得2-0分；</w:t>
            </w:r>
          </w:p>
          <w:p>
            <w:pPr>
              <w:pStyle w:val="20"/>
              <w:ind w:left="108"/>
              <w:jc w:val="both"/>
              <w:rPr>
                <w:rFonts w:ascii="Times New Roman" w:hAnsi="Times New Roman" w:cs="Times New Roman"/>
                <w:sz w:val="20"/>
                <w:szCs w:val="20"/>
                <w:lang w:val="en-US"/>
              </w:rPr>
            </w:pPr>
            <w:r>
              <w:rPr>
                <w:rFonts w:hint="eastAsia" w:ascii="Times New Roman" w:hAnsi="Times New Roman" w:cs="Times New Roman"/>
                <w:sz w:val="20"/>
                <w:szCs w:val="20"/>
                <w:lang w:val="en-US"/>
              </w:rPr>
              <w:t>2、报告时限相对较短，安全用药部分在相近的条件下，优先选择报告时限相对较短的公司，以满足临床需要，优秀得8-6分，良得5-3分，差得2-0分；</w:t>
            </w:r>
          </w:p>
          <w:p>
            <w:pPr>
              <w:pStyle w:val="20"/>
              <w:ind w:left="108"/>
              <w:jc w:val="both"/>
              <w:rPr>
                <w:rFonts w:ascii="Times New Roman" w:hAnsi="Times New Roman" w:cs="Times New Roman"/>
                <w:sz w:val="20"/>
                <w:szCs w:val="20"/>
                <w:lang w:val="en-US"/>
              </w:rPr>
            </w:pPr>
            <w:r>
              <w:rPr>
                <w:rFonts w:hint="eastAsia" w:ascii="Times New Roman" w:hAnsi="Times New Roman" w:cs="Times New Roman"/>
                <w:sz w:val="20"/>
                <w:szCs w:val="20"/>
                <w:lang w:val="en-US"/>
              </w:rPr>
              <w:t>3、含有大众查体项目的查体套餐设置合理，能够满足高、中层次人群需求，优秀得8-6分，良得5-3分，差得2-0分；</w:t>
            </w:r>
          </w:p>
          <w:p>
            <w:pPr>
              <w:pStyle w:val="20"/>
              <w:ind w:left="108"/>
              <w:jc w:val="both"/>
              <w:rPr>
                <w:rFonts w:ascii="Times New Roman" w:hAnsi="Times New Roman" w:cs="Times New Roman"/>
                <w:sz w:val="20"/>
                <w:szCs w:val="20"/>
                <w:lang w:val="en-US"/>
              </w:rPr>
            </w:pPr>
            <w:r>
              <w:rPr>
                <w:rFonts w:hint="eastAsia" w:ascii="Times New Roman" w:hAnsi="Times New Roman" w:cs="Times New Roman"/>
                <w:sz w:val="20"/>
                <w:szCs w:val="20"/>
                <w:lang w:val="en-US"/>
              </w:rPr>
              <w:t>4、有完善的质量保证体系文件，标本收集、运输、验收相关的支持文件，优秀得8-6分，良得5-3分，差得2-0分；</w:t>
            </w:r>
          </w:p>
          <w:p>
            <w:pPr>
              <w:pStyle w:val="20"/>
              <w:ind w:left="108"/>
              <w:jc w:val="both"/>
              <w:rPr>
                <w:rFonts w:ascii="Times New Roman" w:hAnsi="Times New Roman" w:cs="Times New Roman"/>
                <w:sz w:val="20"/>
                <w:szCs w:val="20"/>
                <w:lang w:val="en-US"/>
              </w:rPr>
            </w:pPr>
            <w:r>
              <w:rPr>
                <w:rFonts w:hint="eastAsia" w:ascii="Times New Roman" w:hAnsi="Times New Roman" w:cs="Times New Roman"/>
                <w:sz w:val="20"/>
                <w:szCs w:val="20"/>
                <w:lang w:val="en-US"/>
              </w:rPr>
              <w:t>5、提供近三年的实验室室内质控相关的资料、参加国家或省的室间质评相关的材料，未开展室间质评的项目有实验室比对资料，优秀得8-6分，良得5-3分，差得2-0分；</w:t>
            </w:r>
          </w:p>
          <w:p>
            <w:pPr>
              <w:pStyle w:val="20"/>
              <w:ind w:left="108"/>
              <w:jc w:val="both"/>
              <w:rPr>
                <w:rFonts w:ascii="Times New Roman" w:hAnsi="Times New Roman" w:cs="Times New Roman"/>
                <w:sz w:val="20"/>
                <w:szCs w:val="20"/>
                <w:lang w:val="en-US"/>
              </w:rPr>
            </w:pPr>
            <w:r>
              <w:rPr>
                <w:rFonts w:hint="eastAsia" w:ascii="Times New Roman" w:hAnsi="Times New Roman" w:cs="Times New Roman"/>
                <w:sz w:val="20"/>
                <w:szCs w:val="20"/>
                <w:lang w:val="en-US"/>
              </w:rPr>
              <w:t>6、提供常规项目及特殊项目的报告时限（项目见外包项目清单），优秀得8-6分，良得5-3分，差得2-0分；</w:t>
            </w:r>
          </w:p>
          <w:p>
            <w:pPr>
              <w:pStyle w:val="20"/>
              <w:ind w:left="108"/>
              <w:jc w:val="both"/>
              <w:rPr>
                <w:rFonts w:ascii="Times New Roman" w:hAnsi="Times New Roman" w:cs="Times New Roman"/>
                <w:sz w:val="28"/>
                <w:szCs w:val="28"/>
                <w:lang w:val="en-US"/>
              </w:rPr>
            </w:pPr>
            <w:r>
              <w:rPr>
                <w:rFonts w:hint="eastAsia" w:ascii="Times New Roman" w:hAnsi="Times New Roman" w:cs="Times New Roman"/>
                <w:sz w:val="20"/>
                <w:szCs w:val="20"/>
                <w:lang w:val="en-US"/>
              </w:rPr>
              <w:t>7、有完善的实验室与外包用户的检验结果报告信息系统，优秀得8-6分，良得5-3分，差得2-0分。</w:t>
            </w:r>
          </w:p>
        </w:tc>
        <w:tc>
          <w:tcPr>
            <w:tcW w:w="979" w:type="dxa"/>
            <w:vAlign w:val="center"/>
          </w:tcPr>
          <w:p>
            <w:pPr>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23" w:hRule="atLeast"/>
        </w:trPr>
        <w:tc>
          <w:tcPr>
            <w:tcW w:w="665" w:type="dxa"/>
            <w:shd w:val="clear" w:color="auto" w:fill="auto"/>
            <w:vAlign w:val="center"/>
          </w:tcPr>
          <w:p>
            <w:pPr>
              <w:spacing w:line="360" w:lineRule="auto"/>
              <w:jc w:val="center"/>
              <w:rPr>
                <w:rFonts w:ascii="Times New Roman" w:hAnsi="Times New Roman" w:cs="Times New Roman"/>
                <w:sz w:val="20"/>
                <w:szCs w:val="20"/>
                <w:lang w:val="en-US"/>
              </w:rPr>
            </w:pPr>
            <w:r>
              <w:rPr>
                <w:rFonts w:hint="eastAsia" w:ascii="Times New Roman" w:hAnsi="Times New Roman" w:cs="Times New Roman"/>
                <w:sz w:val="20"/>
                <w:szCs w:val="20"/>
                <w:lang w:val="en-US"/>
              </w:rPr>
              <w:t>3</w:t>
            </w:r>
          </w:p>
        </w:tc>
        <w:tc>
          <w:tcPr>
            <w:tcW w:w="1050" w:type="dxa"/>
            <w:shd w:val="clear" w:color="auto" w:fill="auto"/>
            <w:vAlign w:val="center"/>
          </w:tcPr>
          <w:p>
            <w:pPr>
              <w:jc w:val="center"/>
              <w:rPr>
                <w:rFonts w:ascii="Times New Roman" w:hAnsi="Times New Roman" w:cs="Times New Roman"/>
                <w:b/>
                <w:bCs/>
                <w:sz w:val="20"/>
                <w:szCs w:val="20"/>
                <w:lang w:val="en-US"/>
              </w:rPr>
            </w:pPr>
            <w:r>
              <w:rPr>
                <w:rFonts w:hint="eastAsia" w:ascii="Times New Roman" w:hAnsi="Times New Roman" w:cs="Times New Roman"/>
                <w:b/>
                <w:bCs/>
                <w:sz w:val="20"/>
                <w:szCs w:val="20"/>
                <w:lang w:val="en-US"/>
              </w:rPr>
              <w:t>企业实力</w:t>
            </w:r>
          </w:p>
        </w:tc>
        <w:tc>
          <w:tcPr>
            <w:tcW w:w="750" w:type="dxa"/>
            <w:shd w:val="clear" w:color="auto" w:fill="auto"/>
            <w:vAlign w:val="center"/>
          </w:tcPr>
          <w:p>
            <w:pPr>
              <w:spacing w:line="360" w:lineRule="auto"/>
              <w:jc w:val="center"/>
              <w:rPr>
                <w:rFonts w:ascii="Times New Roman" w:hAnsi="Times New Roman" w:cs="Times New Roman"/>
                <w:sz w:val="20"/>
                <w:szCs w:val="20"/>
                <w:lang w:val="en-US"/>
              </w:rPr>
            </w:pPr>
            <w:r>
              <w:rPr>
                <w:rFonts w:hint="eastAsia" w:ascii="Times New Roman" w:hAnsi="Times New Roman" w:cs="Times New Roman"/>
                <w:sz w:val="20"/>
                <w:szCs w:val="20"/>
                <w:lang w:val="en-US"/>
              </w:rPr>
              <w:t>4</w:t>
            </w:r>
          </w:p>
        </w:tc>
        <w:tc>
          <w:tcPr>
            <w:tcW w:w="7440" w:type="dxa"/>
            <w:shd w:val="clear" w:color="auto" w:fill="FFFFFF"/>
            <w:vAlign w:val="center"/>
          </w:tcPr>
          <w:p>
            <w:pPr>
              <w:pStyle w:val="20"/>
              <w:ind w:left="108"/>
              <w:jc w:val="both"/>
              <w:rPr>
                <w:rFonts w:ascii="Times New Roman" w:hAnsi="Times New Roman" w:cs="Times New Roman"/>
                <w:sz w:val="20"/>
                <w:szCs w:val="20"/>
                <w:lang w:val="en-US"/>
              </w:rPr>
            </w:pPr>
            <w:r>
              <w:rPr>
                <w:rFonts w:hint="eastAsia" w:ascii="Times New Roman" w:hAnsi="Times New Roman" w:cs="Times New Roman"/>
                <w:sz w:val="20"/>
                <w:szCs w:val="20"/>
                <w:lang w:val="en-US"/>
              </w:rPr>
              <w:t>有资料证明公司目前具备科研和创新研发能力，和在二、三级医院提供服务的能力。优秀得4-3分，良得2-1分，差得0分。</w:t>
            </w:r>
          </w:p>
        </w:tc>
        <w:tc>
          <w:tcPr>
            <w:tcW w:w="979" w:type="dxa"/>
            <w:vAlign w:val="center"/>
          </w:tcPr>
          <w:p>
            <w:pPr>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8" w:hRule="atLeast"/>
        </w:trPr>
        <w:tc>
          <w:tcPr>
            <w:tcW w:w="665" w:type="dxa"/>
            <w:shd w:val="clear" w:color="auto" w:fill="auto"/>
            <w:vAlign w:val="center"/>
          </w:tcPr>
          <w:p>
            <w:pPr>
              <w:spacing w:line="360" w:lineRule="auto"/>
              <w:jc w:val="center"/>
              <w:rPr>
                <w:rFonts w:ascii="Times New Roman" w:hAnsi="Times New Roman" w:cs="Times New Roman"/>
                <w:sz w:val="20"/>
                <w:szCs w:val="20"/>
                <w:lang w:val="en-US"/>
              </w:rPr>
            </w:pPr>
            <w:r>
              <w:rPr>
                <w:rFonts w:hint="eastAsia" w:ascii="Times New Roman" w:hAnsi="Times New Roman" w:cs="Times New Roman"/>
                <w:sz w:val="20"/>
                <w:szCs w:val="20"/>
                <w:lang w:val="en-US"/>
              </w:rPr>
              <w:t>4</w:t>
            </w:r>
          </w:p>
        </w:tc>
        <w:tc>
          <w:tcPr>
            <w:tcW w:w="1050" w:type="dxa"/>
            <w:shd w:val="clear" w:color="auto" w:fill="auto"/>
            <w:vAlign w:val="center"/>
          </w:tcPr>
          <w:p>
            <w:pPr>
              <w:jc w:val="center"/>
              <w:rPr>
                <w:rFonts w:ascii="Times New Roman" w:hAnsi="Times New Roman" w:cs="Times New Roman"/>
                <w:b/>
                <w:bCs/>
                <w:sz w:val="20"/>
                <w:szCs w:val="20"/>
                <w:lang w:val="en-US"/>
              </w:rPr>
            </w:pPr>
            <w:r>
              <w:rPr>
                <w:rFonts w:hint="eastAsia" w:ascii="Times New Roman" w:hAnsi="Times New Roman" w:cs="Times New Roman"/>
                <w:b/>
                <w:bCs/>
                <w:sz w:val="20"/>
                <w:szCs w:val="20"/>
                <w:lang w:val="en-US"/>
              </w:rPr>
              <w:t>财务状况</w:t>
            </w:r>
          </w:p>
        </w:tc>
        <w:tc>
          <w:tcPr>
            <w:tcW w:w="750" w:type="dxa"/>
            <w:shd w:val="clear" w:color="auto" w:fill="auto"/>
            <w:vAlign w:val="center"/>
          </w:tcPr>
          <w:p>
            <w:pPr>
              <w:spacing w:line="360" w:lineRule="auto"/>
              <w:jc w:val="center"/>
              <w:rPr>
                <w:rFonts w:ascii="Times New Roman" w:hAnsi="Times New Roman" w:cs="Times New Roman"/>
                <w:sz w:val="20"/>
                <w:szCs w:val="20"/>
                <w:lang w:val="en-US"/>
              </w:rPr>
            </w:pPr>
            <w:r>
              <w:rPr>
                <w:rFonts w:hint="eastAsia" w:ascii="Times New Roman" w:hAnsi="Times New Roman" w:cs="Times New Roman"/>
                <w:sz w:val="20"/>
                <w:szCs w:val="20"/>
                <w:lang w:val="en-US"/>
              </w:rPr>
              <w:t>1</w:t>
            </w:r>
          </w:p>
        </w:tc>
        <w:tc>
          <w:tcPr>
            <w:tcW w:w="7440" w:type="dxa"/>
            <w:shd w:val="clear" w:color="auto" w:fill="FFFFFF"/>
            <w:vAlign w:val="center"/>
          </w:tcPr>
          <w:p>
            <w:pPr>
              <w:pStyle w:val="20"/>
              <w:ind w:left="108"/>
              <w:jc w:val="both"/>
              <w:rPr>
                <w:rFonts w:ascii="Times New Roman" w:hAnsi="Times New Roman" w:cs="Times New Roman"/>
                <w:sz w:val="20"/>
                <w:szCs w:val="20"/>
                <w:lang w:val="en-US"/>
              </w:rPr>
            </w:pPr>
            <w:r>
              <w:rPr>
                <w:rFonts w:hint="eastAsia" w:ascii="Times New Roman" w:hAnsi="Times New Roman" w:cs="Times New Roman"/>
                <w:sz w:val="20"/>
                <w:szCs w:val="20"/>
              </w:rPr>
              <w:t>提供近三年度</w:t>
            </w:r>
            <w:r>
              <w:rPr>
                <w:rFonts w:hint="eastAsia" w:ascii="Times New Roman" w:hAnsi="Times New Roman" w:cs="Times New Roman"/>
                <w:sz w:val="20"/>
                <w:szCs w:val="20"/>
                <w:lang w:val="en-US"/>
              </w:rPr>
              <w:t>由会计师事务所出具的</w:t>
            </w:r>
            <w:r>
              <w:rPr>
                <w:rFonts w:hint="eastAsia" w:ascii="Times New Roman" w:hAnsi="Times New Roman" w:cs="Times New Roman"/>
                <w:sz w:val="20"/>
                <w:szCs w:val="20"/>
              </w:rPr>
              <w:t>财务</w:t>
            </w:r>
            <w:r>
              <w:rPr>
                <w:rFonts w:hint="eastAsia" w:ascii="Times New Roman" w:hAnsi="Times New Roman" w:cs="Times New Roman"/>
                <w:sz w:val="20"/>
                <w:szCs w:val="20"/>
                <w:lang w:val="en-US"/>
              </w:rPr>
              <w:t>审计</w:t>
            </w:r>
            <w:r>
              <w:rPr>
                <w:rFonts w:hint="eastAsia" w:ascii="Times New Roman" w:hAnsi="Times New Roman" w:cs="Times New Roman"/>
                <w:sz w:val="20"/>
                <w:szCs w:val="20"/>
              </w:rPr>
              <w:t xml:space="preserve">报告，得 </w:t>
            </w:r>
            <w:r>
              <w:rPr>
                <w:rFonts w:hint="eastAsia" w:ascii="Times New Roman" w:hAnsi="Times New Roman" w:cs="Times New Roman"/>
                <w:sz w:val="20"/>
                <w:szCs w:val="20"/>
                <w:lang w:val="en-US"/>
              </w:rPr>
              <w:t>1</w:t>
            </w:r>
            <w:r>
              <w:rPr>
                <w:rFonts w:hint="eastAsia" w:ascii="Times New Roman" w:hAnsi="Times New Roman" w:cs="Times New Roman"/>
                <w:sz w:val="20"/>
                <w:szCs w:val="20"/>
              </w:rPr>
              <w:t xml:space="preserve"> 分,最高得分</w:t>
            </w:r>
            <w:r>
              <w:rPr>
                <w:rFonts w:hint="eastAsia" w:ascii="Times New Roman" w:hAnsi="Times New Roman" w:cs="Times New Roman"/>
                <w:sz w:val="20"/>
                <w:szCs w:val="20"/>
                <w:lang w:val="en-US"/>
              </w:rPr>
              <w:t>1</w:t>
            </w:r>
            <w:r>
              <w:rPr>
                <w:rFonts w:hint="eastAsia" w:ascii="Times New Roman" w:hAnsi="Times New Roman" w:cs="Times New Roman"/>
                <w:sz w:val="20"/>
                <w:szCs w:val="20"/>
              </w:rPr>
              <w:t>分（开标时须提供证件原件</w:t>
            </w:r>
            <w:r>
              <w:rPr>
                <w:rFonts w:hint="eastAsia"/>
                <w:sz w:val="20"/>
                <w:szCs w:val="20"/>
              </w:rPr>
              <w:t>或复印件加盖公章</w:t>
            </w:r>
            <w:r>
              <w:rPr>
                <w:rFonts w:hint="eastAsia" w:ascii="Times New Roman" w:hAnsi="Times New Roman" w:cs="Times New Roman"/>
                <w:sz w:val="20"/>
                <w:szCs w:val="20"/>
              </w:rPr>
              <w:t>，且原件</w:t>
            </w:r>
            <w:r>
              <w:rPr>
                <w:rFonts w:hint="eastAsia"/>
                <w:sz w:val="20"/>
                <w:szCs w:val="20"/>
              </w:rPr>
              <w:t>或复印件加盖公章</w:t>
            </w:r>
            <w:r>
              <w:rPr>
                <w:rFonts w:hint="eastAsia" w:ascii="Times New Roman" w:hAnsi="Times New Roman" w:cs="Times New Roman"/>
                <w:sz w:val="20"/>
                <w:szCs w:val="20"/>
              </w:rPr>
              <w:t>与文件中复印件一致，否则不予认可）</w:t>
            </w:r>
          </w:p>
        </w:tc>
        <w:tc>
          <w:tcPr>
            <w:tcW w:w="979" w:type="dxa"/>
            <w:vAlign w:val="center"/>
          </w:tcPr>
          <w:p>
            <w:pPr>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61" w:hRule="atLeast"/>
        </w:trPr>
        <w:tc>
          <w:tcPr>
            <w:tcW w:w="665" w:type="dxa"/>
            <w:vAlign w:val="center"/>
          </w:tcPr>
          <w:p>
            <w:pPr>
              <w:spacing w:line="360" w:lineRule="auto"/>
              <w:jc w:val="center"/>
              <w:rPr>
                <w:rFonts w:ascii="Times New Roman" w:hAnsi="Times New Roman" w:cs="Times New Roman"/>
                <w:sz w:val="20"/>
                <w:szCs w:val="20"/>
              </w:rPr>
            </w:pPr>
            <w:r>
              <w:rPr>
                <w:rFonts w:hint="eastAsia" w:ascii="Times New Roman" w:hAnsi="Times New Roman" w:cs="Times New Roman"/>
                <w:sz w:val="20"/>
                <w:szCs w:val="20"/>
                <w:lang w:val="en-US"/>
              </w:rPr>
              <w:t>5</w:t>
            </w:r>
          </w:p>
        </w:tc>
        <w:tc>
          <w:tcPr>
            <w:tcW w:w="1050" w:type="dxa"/>
            <w:vAlign w:val="center"/>
          </w:tcPr>
          <w:p>
            <w:pPr>
              <w:jc w:val="center"/>
              <w:rPr>
                <w:rFonts w:ascii="Times New Roman" w:hAnsi="Times New Roman" w:cs="Times New Roman"/>
                <w:sz w:val="20"/>
                <w:szCs w:val="20"/>
              </w:rPr>
            </w:pPr>
            <w:r>
              <w:rPr>
                <w:rFonts w:hint="eastAsia" w:ascii="Times New Roman" w:hAnsi="Times New Roman" w:cs="Times New Roman"/>
                <w:sz w:val="20"/>
                <w:szCs w:val="20"/>
              </w:rPr>
              <w:t>业绩</w:t>
            </w:r>
          </w:p>
        </w:tc>
        <w:tc>
          <w:tcPr>
            <w:tcW w:w="750" w:type="dxa"/>
            <w:vAlign w:val="center"/>
          </w:tcPr>
          <w:p>
            <w:pPr>
              <w:spacing w:line="360" w:lineRule="auto"/>
              <w:jc w:val="center"/>
              <w:rPr>
                <w:rFonts w:ascii="Times New Roman" w:hAnsi="Times New Roman" w:cs="Times New Roman"/>
                <w:sz w:val="20"/>
                <w:szCs w:val="20"/>
              </w:rPr>
            </w:pPr>
            <w:r>
              <w:rPr>
                <w:rFonts w:hint="eastAsia" w:ascii="Times New Roman" w:hAnsi="Times New Roman" w:cs="Times New Roman"/>
                <w:sz w:val="20"/>
                <w:szCs w:val="20"/>
                <w:lang w:val="en-US"/>
              </w:rPr>
              <w:t>4</w:t>
            </w:r>
          </w:p>
        </w:tc>
        <w:tc>
          <w:tcPr>
            <w:tcW w:w="7440" w:type="dxa"/>
            <w:vAlign w:val="center"/>
          </w:tcPr>
          <w:p>
            <w:pPr>
              <w:rPr>
                <w:rFonts w:ascii="Times New Roman" w:hAnsi="Times New Roman" w:cs="Times New Roman"/>
                <w:sz w:val="20"/>
                <w:szCs w:val="20"/>
              </w:rPr>
            </w:pPr>
            <w:r>
              <w:rPr>
                <w:rFonts w:hint="eastAsia" w:ascii="Times New Roman" w:hAnsi="Times New Roman" w:cs="Times New Roman"/>
                <w:sz w:val="20"/>
                <w:szCs w:val="20"/>
                <w:lang w:val="en-US"/>
              </w:rPr>
              <w:t>近三年内具有同类项目业绩，合作方为二级以上医院的得1分，本项最高得4分。（必须同时提供中标通知书原件</w:t>
            </w:r>
            <w:r>
              <w:rPr>
                <w:rFonts w:hint="eastAsia"/>
                <w:sz w:val="20"/>
                <w:szCs w:val="20"/>
              </w:rPr>
              <w:t>或复印件加盖公章</w:t>
            </w:r>
            <w:r>
              <w:rPr>
                <w:rFonts w:hint="eastAsia" w:ascii="Times New Roman" w:hAnsi="Times New Roman" w:cs="Times New Roman"/>
                <w:sz w:val="20"/>
                <w:szCs w:val="20"/>
                <w:lang w:val="en-US"/>
              </w:rPr>
              <w:t>、合同协议书原件</w:t>
            </w:r>
            <w:r>
              <w:rPr>
                <w:rFonts w:hint="eastAsia"/>
                <w:sz w:val="20"/>
                <w:szCs w:val="20"/>
              </w:rPr>
              <w:t>或复印件加盖公章</w:t>
            </w:r>
            <w:r>
              <w:rPr>
                <w:rFonts w:hint="eastAsia" w:ascii="Times New Roman" w:hAnsi="Times New Roman" w:cs="Times New Roman"/>
                <w:sz w:val="20"/>
                <w:szCs w:val="20"/>
                <w:lang w:val="en-US"/>
              </w:rPr>
              <w:t>及官方网站公示截图，缺一不得分，以合同签订时间为准）。</w:t>
            </w:r>
          </w:p>
        </w:tc>
        <w:tc>
          <w:tcPr>
            <w:tcW w:w="979" w:type="dxa"/>
            <w:vAlign w:val="center"/>
          </w:tcPr>
          <w:p>
            <w:pPr>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9" w:hRule="atLeast"/>
        </w:trPr>
        <w:tc>
          <w:tcPr>
            <w:tcW w:w="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0"/>
                <w:szCs w:val="20"/>
                <w:lang w:val="en-US"/>
              </w:rPr>
            </w:pPr>
            <w:r>
              <w:rPr>
                <w:rFonts w:hint="eastAsia" w:ascii="Times New Roman" w:hAnsi="Times New Roman" w:cs="Times New Roman"/>
                <w:sz w:val="20"/>
                <w:szCs w:val="20"/>
                <w:lang w:val="en-US"/>
              </w:rPr>
              <w:t>6</w:t>
            </w:r>
          </w:p>
        </w:tc>
        <w:tc>
          <w:tcPr>
            <w:tcW w:w="105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sz w:val="20"/>
                <w:szCs w:val="20"/>
              </w:rPr>
            </w:pPr>
            <w:r>
              <w:rPr>
                <w:rFonts w:hint="eastAsia" w:ascii="Times New Roman" w:hAnsi="Times New Roman" w:cs="Times New Roman"/>
                <w:sz w:val="20"/>
                <w:szCs w:val="20"/>
              </w:rPr>
              <w:t>投标文件的规范性</w:t>
            </w:r>
          </w:p>
        </w:tc>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0"/>
                <w:szCs w:val="20"/>
              </w:rPr>
            </w:pPr>
            <w:r>
              <w:rPr>
                <w:rFonts w:hint="eastAsia" w:ascii="Times New Roman" w:hAnsi="Times New Roman" w:cs="Times New Roman"/>
                <w:sz w:val="20"/>
                <w:szCs w:val="20"/>
                <w:lang w:val="en-US"/>
              </w:rPr>
              <w:t>2</w:t>
            </w:r>
          </w:p>
        </w:tc>
        <w:tc>
          <w:tcPr>
            <w:tcW w:w="744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sz w:val="20"/>
                <w:szCs w:val="20"/>
              </w:rPr>
            </w:pPr>
            <w:r>
              <w:rPr>
                <w:rFonts w:hint="eastAsia" w:ascii="Times New Roman" w:hAnsi="Times New Roman" w:cs="Times New Roman"/>
                <w:sz w:val="20"/>
                <w:szCs w:val="20"/>
              </w:rPr>
              <w:t>投标文件制作规范，没有细微偏差情形（</w:t>
            </w:r>
            <w:r>
              <w:rPr>
                <w:rFonts w:hint="eastAsia" w:ascii="Times New Roman" w:hAnsi="Times New Roman" w:cs="Times New Roman"/>
                <w:sz w:val="20"/>
                <w:szCs w:val="20"/>
                <w:lang w:val="en-US"/>
              </w:rPr>
              <w:t>2</w:t>
            </w:r>
            <w:r>
              <w:rPr>
                <w:rFonts w:hint="eastAsia" w:ascii="Times New Roman" w:hAnsi="Times New Roman" w:cs="Times New Roman"/>
                <w:sz w:val="20"/>
                <w:szCs w:val="20"/>
              </w:rPr>
              <w:t>分）；有一项细微偏差扣0.5分，直至该项分值扣完为止。</w:t>
            </w:r>
          </w:p>
        </w:tc>
        <w:tc>
          <w:tcPr>
            <w:tcW w:w="979"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9" w:hRule="atLeast"/>
        </w:trPr>
        <w:tc>
          <w:tcPr>
            <w:tcW w:w="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0"/>
                <w:szCs w:val="20"/>
                <w:lang w:val="en-US"/>
              </w:rPr>
            </w:pPr>
            <w:r>
              <w:rPr>
                <w:rFonts w:hint="eastAsia" w:ascii="Times New Roman" w:hAnsi="Times New Roman" w:cs="Times New Roman"/>
                <w:sz w:val="20"/>
                <w:szCs w:val="20"/>
                <w:lang w:val="en-US"/>
              </w:rPr>
              <w:t>7</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0"/>
                <w:szCs w:val="20"/>
              </w:rPr>
            </w:pPr>
            <w:r>
              <w:rPr>
                <w:rFonts w:hint="eastAsia" w:ascii="Times New Roman" w:hAnsi="Times New Roman" w:cs="Times New Roman"/>
                <w:sz w:val="20"/>
                <w:szCs w:val="20"/>
                <w:lang w:val="en-US"/>
              </w:rPr>
              <w:t>项目开展后服务</w:t>
            </w:r>
          </w:p>
        </w:tc>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0"/>
                <w:szCs w:val="20"/>
              </w:rPr>
            </w:pPr>
            <w:r>
              <w:rPr>
                <w:rFonts w:hint="eastAsia" w:ascii="Times New Roman" w:hAnsi="Times New Roman" w:cs="Times New Roman"/>
                <w:sz w:val="20"/>
                <w:szCs w:val="20"/>
                <w:lang w:val="en-US"/>
              </w:rPr>
              <w:t>3</w:t>
            </w:r>
          </w:p>
        </w:tc>
        <w:tc>
          <w:tcPr>
            <w:tcW w:w="7440"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sz w:val="20"/>
                <w:szCs w:val="20"/>
              </w:rPr>
            </w:pPr>
            <w:r>
              <w:rPr>
                <w:rFonts w:hint="eastAsia" w:ascii="Times New Roman" w:hAnsi="Times New Roman" w:cs="Times New Roman"/>
                <w:sz w:val="20"/>
                <w:szCs w:val="20"/>
                <w:lang w:val="en-US"/>
              </w:rPr>
              <w:t>从培训、标本采集到检测及报告派送等环节，及设备或报告终端安装情况，运作人员合理安排，工作人员素质高。优秀得3-2分，良得1分，差得0分。</w:t>
            </w:r>
          </w:p>
        </w:tc>
        <w:tc>
          <w:tcPr>
            <w:tcW w:w="979"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sz w:val="20"/>
                <w:szCs w:val="20"/>
              </w:rPr>
            </w:pPr>
          </w:p>
        </w:tc>
      </w:tr>
    </w:tbl>
    <w:p>
      <w:pPr>
        <w:pStyle w:val="8"/>
        <w:spacing w:before="149"/>
        <w:rPr>
          <w:color w:val="FF0000"/>
        </w:rPr>
      </w:pPr>
    </w:p>
    <w:p>
      <w:pPr>
        <w:pStyle w:val="8"/>
        <w:spacing w:before="118"/>
        <w:rPr>
          <w:b/>
          <w:bCs/>
        </w:rPr>
      </w:pPr>
      <w:r>
        <w:rPr>
          <w:b/>
          <w:bCs/>
        </w:rPr>
        <w:t>注：</w:t>
      </w:r>
    </w:p>
    <w:p>
      <w:pPr>
        <w:pStyle w:val="8"/>
        <w:spacing w:before="135" w:line="480" w:lineRule="exact"/>
      </w:pPr>
      <w:r>
        <w:t>1、评分如出现小数点，则保留小数点后两位。</w:t>
      </w:r>
    </w:p>
    <w:p>
      <w:pPr>
        <w:pStyle w:val="8"/>
        <w:spacing w:line="480" w:lineRule="exact"/>
      </w:pPr>
      <w:r>
        <w:t>2、分数列是指投标人在某评审项目中得到的最高分。</w:t>
      </w:r>
    </w:p>
    <w:p>
      <w:pPr>
        <w:pStyle w:val="8"/>
        <w:spacing w:line="480" w:lineRule="exact"/>
        <w:rPr>
          <w:sz w:val="21"/>
        </w:rPr>
      </w:pPr>
      <w:r>
        <w:rPr>
          <w:rFonts w:ascii="Times New Roman" w:eastAsia="Times New Roman"/>
        </w:rPr>
        <w:t>3</w:t>
      </w:r>
      <w:r>
        <w:t>、投标人有效得分为各评委组成员评分的算术平均值。</w:t>
      </w:r>
    </w:p>
    <w:p>
      <w:pPr>
        <w:pStyle w:val="8"/>
        <w:spacing w:line="480" w:lineRule="exact"/>
      </w:pPr>
      <w:bookmarkStart w:id="61" w:name="4、以上评标办法中所要求证件、证明等资料均须提供原件，且原件与文件中复印件一致，"/>
      <w:bookmarkEnd w:id="61"/>
      <w:r>
        <w:t>4</w:t>
      </w:r>
      <w:r>
        <w:rPr>
          <w:spacing w:val="-15"/>
        </w:rPr>
        <w:t>、以上评标办法中所要求证件、证明等资料</w:t>
      </w:r>
      <w:r>
        <w:rPr>
          <w:rFonts w:hint="eastAsia"/>
          <w:spacing w:val="-15"/>
        </w:rPr>
        <w:t>可</w:t>
      </w:r>
      <w:r>
        <w:rPr>
          <w:spacing w:val="-15"/>
        </w:rPr>
        <w:t>提供原</w:t>
      </w:r>
      <w:r>
        <w:rPr>
          <w:rFonts w:hint="eastAsia"/>
          <w:spacing w:val="-15"/>
        </w:rPr>
        <w:t>或复印件加盖公章</w:t>
      </w:r>
      <w:r>
        <w:t>。</w:t>
      </w:r>
    </w:p>
    <w:p>
      <w:pPr>
        <w:pStyle w:val="8"/>
        <w:spacing w:before="3" w:line="480" w:lineRule="exact"/>
      </w:pPr>
      <w:bookmarkStart w:id="62" w:name="5、评分标准中所有证明材料及证件必须提供原件，否则，不予计分。"/>
      <w:bookmarkEnd w:id="62"/>
      <w:r>
        <w:t>5、评分标准中所有证明材料及证件必须提供原件</w:t>
      </w:r>
      <w:r>
        <w:rPr>
          <w:rFonts w:hint="eastAsia"/>
          <w:spacing w:val="-15"/>
        </w:rPr>
        <w:t>或复印件加盖公章</w:t>
      </w:r>
      <w:r>
        <w:t>，否则，不予计分。</w:t>
      </w:r>
      <w:bookmarkStart w:id="63" w:name="各投标人的最后报价按以下标准进行价格扣除后进行评审。"/>
      <w:bookmarkEnd w:id="63"/>
      <w:r>
        <w:t>各投标人的最后报价按以下标准进行价格扣除后进行评审。</w:t>
      </w:r>
    </w:p>
    <w:p>
      <w:pPr>
        <w:pStyle w:val="8"/>
        <w:spacing w:line="480" w:lineRule="exact"/>
        <w:rPr>
          <w:b/>
          <w:bCs/>
        </w:rPr>
      </w:pPr>
      <w:bookmarkStart w:id="64" w:name="6、根据财政部，工信部印发的《政府采购促进中小企业发展暂行办法》。提供本企业制造"/>
      <w:bookmarkEnd w:id="64"/>
      <w:r>
        <w:rPr>
          <w:b/>
          <w:bCs/>
        </w:rPr>
        <w:t>6、优惠政策</w:t>
      </w:r>
    </w:p>
    <w:p>
      <w:pPr>
        <w:pStyle w:val="8"/>
        <w:spacing w:line="480" w:lineRule="exact"/>
        <w:rPr>
          <w:b/>
          <w:bCs/>
        </w:rPr>
      </w:pPr>
      <w:r>
        <w:rPr>
          <w:b/>
          <w:bCs/>
        </w:rPr>
        <w:t>为了落实促进中小企业发展、节能环保产品政府采购政策、促进残疾人就业政府采购政策，本项目将根据投标人情况、投标产品情况给予适当加分或价格折减：</w:t>
      </w:r>
    </w:p>
    <w:p>
      <w:pPr>
        <w:pStyle w:val="8"/>
        <w:spacing w:line="480" w:lineRule="exact"/>
        <w:rPr>
          <w:b/>
          <w:bCs/>
        </w:rPr>
      </w:pPr>
      <w:r>
        <w:rPr>
          <w:b/>
          <w:bCs/>
        </w:rPr>
        <w:t>&lt;1&gt;根据财政部，工信部印发的《政府采购促进中小企业发展暂行办法》。提供本企业制造的货物、承担的工程或服务，或提供其他中小企业制造的货物，本项所称货物不包括使用大型企业注册商标的货物；小型微型企业提供中型企业制造的货物的，视同为中型企业。对小型和微型企业的价格给予6%的扣除，但必须同时提供如下证明材料，否则不予价格扣除。①中小企业声明函（格式附后）。②属于小型、微型企业的证明文件原件（格式附后）。</w:t>
      </w:r>
    </w:p>
    <w:p>
      <w:pPr>
        <w:pStyle w:val="8"/>
        <w:spacing w:line="480" w:lineRule="exact"/>
        <w:rPr>
          <w:b/>
          <w:bCs/>
        </w:rPr>
      </w:pPr>
      <w:r>
        <w:rPr>
          <w:b/>
          <w:bCs/>
        </w:rPr>
        <w:t>③若同一合同包内的小型、微型企业产品仅是构成报价产品的部件、组件或零件的，则该报价产品不给予价格扣除。中小企业划分标准详见工业和信息化部、国家统计局、国家发展和改革委员会、财政部出台的工信部联企业[2011]300号文件。）</w:t>
      </w:r>
    </w:p>
    <w:p>
      <w:pPr>
        <w:pStyle w:val="8"/>
        <w:spacing w:line="480" w:lineRule="exact"/>
        <w:rPr>
          <w:b/>
          <w:bCs/>
        </w:rPr>
      </w:pPr>
      <w:r>
        <w:rPr>
          <w:b/>
          <w:bCs/>
        </w:rPr>
        <w:t>&lt;2&g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复印件加盖公章）。具体采购项目评审时，监狱企业报价给予 6%的价格扣除优惠。</w:t>
      </w:r>
    </w:p>
    <w:p>
      <w:pPr>
        <w:pStyle w:val="8"/>
        <w:spacing w:line="480" w:lineRule="exact"/>
        <w:rPr>
          <w:b/>
          <w:bCs/>
        </w:rPr>
      </w:pPr>
      <w:r>
        <w:rPr>
          <w:b/>
          <w:bCs/>
        </w:rPr>
        <w:t>&lt;3&gt;残疾人福利性单位给予 6%的价格扣除优惠。依据《关于促进残疾人就业政府采购政策的通知财库〔2017〕141 号》文件，属于残疾人福利性单位的需提供《残疾人福利性单位声明函》（见附件），残疾人福利性单位属于小型、微型企业的，不重复享受政策。中标、成交供应商为残疾人福利性单位的，随中标、成交结果同时公告其《残疾人福利性单位声明函》，接受社会监督。投标人提供的《残疾人福利性单位声明函》与事实不符的， 依照《政府采购法》第七十七条第一款的规定追究法律责任。</w:t>
      </w:r>
    </w:p>
    <w:p>
      <w:pPr>
        <w:pStyle w:val="8"/>
        <w:spacing w:line="480" w:lineRule="exact"/>
        <w:rPr>
          <w:b/>
          <w:bCs/>
        </w:rPr>
      </w:pPr>
      <w:r>
        <w:rPr>
          <w:b/>
          <w:bCs/>
        </w:rPr>
        <w:t>&lt;4&gt;为了落实《山东省节能环保产品政府采购评审办法》，给予节能、环保产品响应的加分。</w:t>
      </w:r>
    </w:p>
    <w:p>
      <w:pPr>
        <w:pStyle w:val="8"/>
        <w:spacing w:line="480" w:lineRule="exact"/>
        <w:rPr>
          <w:b/>
          <w:bCs/>
        </w:rPr>
      </w:pPr>
      <w:r>
        <w:rPr>
          <w:b/>
          <w:bCs/>
        </w:rPr>
        <w:t>投标人在投标报价时必须对属于节能、环境标志产品清单内产品单独分项报价，在响应文件中提供属于当期节能、环保产品清单（截至谈判文件发布之日）内的证明资料（加盖投标人公章）、并认真填写节能、环保产品加分明细表（见附件）。不提供产品清单截图的、提供的清单不是当期节能、环保清单的，未按要求据实填写节能、环保产品加分明细表的，不予认定。</w:t>
      </w:r>
    </w:p>
    <w:p>
      <w:pPr>
        <w:pStyle w:val="8"/>
        <w:spacing w:line="480" w:lineRule="exact"/>
        <w:rPr>
          <w:b/>
          <w:bCs/>
        </w:rPr>
      </w:pPr>
      <w:r>
        <w:rPr>
          <w:b/>
          <w:bCs/>
        </w:rPr>
        <w:t>（注：①节能产品是指财政部、国家发展和改革委员会最新公布的《节能产品政府采购清单》内的产品、环境标志产品是指财政部和环保部最新公布的《环境标志产品政府采购清单》内的产品；②同一合同包内的节能、环境标志产品部分扣除只对属于清单内的非强制类产品进行扣除，强制类产品不给予扣除；③若同一合同包内的节能、环境标志产品仅是构成投标产品的部件、组件或零件的，则不给予扣除。获得上述认证的产品在投标时应提供有效证明材料④对于同时列入环保清单和节能产品政府采购清单的产品，应当优先于只列入其中一个清单的产品）。</w:t>
      </w:r>
    </w:p>
    <w:p>
      <w:pPr>
        <w:pStyle w:val="8"/>
        <w:spacing w:line="480" w:lineRule="exact"/>
        <w:rPr>
          <w:b/>
          <w:bCs/>
          <w:spacing w:val="-9"/>
        </w:rPr>
      </w:pPr>
      <w:r>
        <w:rPr>
          <w:b/>
          <w:bCs/>
          <w:spacing w:val="-9"/>
        </w:rPr>
        <w:br w:type="page"/>
      </w:r>
    </w:p>
    <w:p>
      <w:pPr>
        <w:pStyle w:val="3"/>
        <w:ind w:left="14" w:hanging="14" w:hangingChars="5"/>
        <w:jc w:val="center"/>
      </w:pPr>
      <w:bookmarkStart w:id="65" w:name="_Toc18481_WPSOffice_Level1"/>
      <w:r>
        <w:t>附件九：中小企业声明函及证明</w:t>
      </w:r>
      <w:bookmarkEnd w:id="65"/>
    </w:p>
    <w:p>
      <w:pPr>
        <w:tabs>
          <w:tab w:val="left" w:pos="5060"/>
        </w:tabs>
        <w:spacing w:before="1"/>
        <w:jc w:val="center"/>
        <w:rPr>
          <w:b/>
          <w:sz w:val="37"/>
        </w:rPr>
      </w:pPr>
      <w:bookmarkStart w:id="66" w:name="_Toc1932_WPSOffice_Level2"/>
      <w:bookmarkStart w:id="67" w:name="_Toc28843_WPSOffice_Level2"/>
      <w:r>
        <w:rPr>
          <w:b/>
          <w:sz w:val="36"/>
        </w:rPr>
        <w:t>中小企业声明函</w:t>
      </w:r>
      <w:bookmarkEnd w:id="66"/>
      <w:bookmarkEnd w:id="67"/>
    </w:p>
    <w:p>
      <w:pPr>
        <w:pStyle w:val="8"/>
        <w:tabs>
          <w:tab w:val="left" w:pos="2767"/>
        </w:tabs>
        <w:spacing w:before="1" w:line="480" w:lineRule="exact"/>
        <w:ind w:left="12" w:hanging="12" w:hangingChars="5"/>
        <w:rPr>
          <w:sz w:val="22"/>
        </w:rPr>
      </w:pPr>
      <w:r>
        <w:t>本公司郑重声明，根据《政府采购促进中小企业发展暂行办法》（财库[2011]181号</w:t>
      </w:r>
      <w:r>
        <w:rPr>
          <w:spacing w:val="-16"/>
        </w:rPr>
        <w:t xml:space="preserve">） </w:t>
      </w:r>
      <w:r>
        <w:t>的规定，本公司为</w:t>
      </w:r>
      <w:r>
        <w:rPr>
          <w:u w:val="single"/>
        </w:rPr>
        <w:tab/>
      </w:r>
      <w:r>
        <w:t>（请填写：中型、小型、微型）企业。即，本公司同时满足以下条件：</w:t>
      </w:r>
    </w:p>
    <w:p>
      <w:pPr>
        <w:pStyle w:val="21"/>
        <w:numPr>
          <w:ilvl w:val="0"/>
          <w:numId w:val="3"/>
        </w:numPr>
        <w:tabs>
          <w:tab w:val="left" w:pos="841"/>
        </w:tabs>
        <w:spacing w:line="480" w:lineRule="exact"/>
        <w:ind w:left="5" w:leftChars="-5" w:hanging="16"/>
      </w:pPr>
      <w:r>
        <w:rPr>
          <w:sz w:val="24"/>
        </w:rPr>
        <w:t>根据《工业和信息化部、国家统计局、国家发展和改革委员会、财政部关于印发中小企业划型标准规定的通知》（工信部联企业[2011]300</w:t>
      </w:r>
      <w:r>
        <w:rPr>
          <w:spacing w:val="-15"/>
          <w:sz w:val="24"/>
        </w:rPr>
        <w:t xml:space="preserve"> 号</w:t>
      </w:r>
      <w:r>
        <w:rPr>
          <w:spacing w:val="4"/>
          <w:sz w:val="24"/>
        </w:rPr>
        <w:t>）</w:t>
      </w:r>
      <w:r>
        <w:rPr>
          <w:sz w:val="24"/>
        </w:rPr>
        <w:t>规定的划分标准，本公司为</w:t>
      </w:r>
    </w:p>
    <w:p>
      <w:pPr>
        <w:pStyle w:val="21"/>
        <w:tabs>
          <w:tab w:val="left" w:pos="841"/>
        </w:tabs>
        <w:spacing w:line="480" w:lineRule="exact"/>
        <w:ind w:left="0" w:firstLine="0"/>
        <w:rPr>
          <w:sz w:val="26"/>
        </w:rPr>
      </w:pPr>
      <w:r>
        <w:rPr>
          <w:sz w:val="24"/>
        </w:rPr>
        <w:t>（请填写：中型、小型、微型）企业。</w:t>
      </w:r>
    </w:p>
    <w:p>
      <w:pPr>
        <w:pStyle w:val="21"/>
        <w:numPr>
          <w:ilvl w:val="0"/>
          <w:numId w:val="3"/>
        </w:numPr>
        <w:tabs>
          <w:tab w:val="left" w:pos="841"/>
          <w:tab w:val="left" w:pos="2767"/>
          <w:tab w:val="left" w:pos="4215"/>
          <w:tab w:val="left" w:pos="4407"/>
        </w:tabs>
        <w:spacing w:line="480" w:lineRule="exact"/>
        <w:ind w:left="-6" w:firstLine="0"/>
        <w:rPr>
          <w:sz w:val="24"/>
        </w:rPr>
      </w:pPr>
      <w:r>
        <w:rPr>
          <w:sz w:val="24"/>
        </w:rPr>
        <w:t>本公司参加</w:t>
      </w:r>
      <w:r>
        <w:rPr>
          <w:sz w:val="24"/>
          <w:u w:val="single"/>
        </w:rPr>
        <w:tab/>
      </w:r>
      <w:r>
        <w:rPr>
          <w:sz w:val="24"/>
        </w:rPr>
        <w:t>单位的</w:t>
      </w:r>
      <w:r>
        <w:rPr>
          <w:sz w:val="24"/>
          <w:u w:val="single"/>
        </w:rPr>
        <w:tab/>
      </w:r>
      <w:r>
        <w:rPr>
          <w:sz w:val="24"/>
        </w:rPr>
        <w:t>项目采购活动提供本企业制造的货物，由本企业承担工程</w:t>
      </w:r>
      <w:r>
        <w:rPr>
          <w:spacing w:val="-10"/>
          <w:sz w:val="24"/>
        </w:rPr>
        <w:t>、</w:t>
      </w:r>
      <w:r>
        <w:rPr>
          <w:sz w:val="24"/>
        </w:rPr>
        <w:t>提供服务</w:t>
      </w:r>
      <w:r>
        <w:rPr>
          <w:spacing w:val="-10"/>
          <w:sz w:val="24"/>
        </w:rPr>
        <w:t>，</w:t>
      </w:r>
      <w:r>
        <w:rPr>
          <w:sz w:val="24"/>
        </w:rPr>
        <w:t>或者提供其他</w:t>
      </w:r>
      <w:r>
        <w:rPr>
          <w:sz w:val="24"/>
          <w:u w:val="single"/>
        </w:rPr>
        <w:tab/>
      </w:r>
      <w:r>
        <w:rPr>
          <w:sz w:val="24"/>
          <w:u w:val="single"/>
        </w:rPr>
        <w:tab/>
      </w:r>
      <w:r>
        <w:rPr>
          <w:spacing w:val="-3"/>
          <w:sz w:val="24"/>
        </w:rPr>
        <w:t>（</w:t>
      </w:r>
      <w:r>
        <w:rPr>
          <w:sz w:val="24"/>
        </w:rPr>
        <w:t>请填写</w:t>
      </w:r>
      <w:r>
        <w:rPr>
          <w:spacing w:val="-8"/>
          <w:sz w:val="24"/>
        </w:rPr>
        <w:t>：</w:t>
      </w:r>
      <w:r>
        <w:rPr>
          <w:sz w:val="24"/>
        </w:rPr>
        <w:t>中型</w:t>
      </w:r>
      <w:r>
        <w:rPr>
          <w:spacing w:val="-10"/>
          <w:sz w:val="24"/>
        </w:rPr>
        <w:t>、</w:t>
      </w:r>
      <w:r>
        <w:rPr>
          <w:sz w:val="24"/>
        </w:rPr>
        <w:t>小型</w:t>
      </w:r>
      <w:r>
        <w:rPr>
          <w:spacing w:val="-12"/>
          <w:sz w:val="24"/>
        </w:rPr>
        <w:t>、</w:t>
      </w:r>
      <w:r>
        <w:rPr>
          <w:sz w:val="24"/>
        </w:rPr>
        <w:t>微型</w:t>
      </w:r>
      <w:r>
        <w:rPr>
          <w:spacing w:val="-10"/>
          <w:sz w:val="24"/>
        </w:rPr>
        <w:t>）</w:t>
      </w:r>
      <w:r>
        <w:rPr>
          <w:sz w:val="24"/>
        </w:rPr>
        <w:t>企业制造的货物</w:t>
      </w:r>
      <w:r>
        <w:rPr>
          <w:spacing w:val="-15"/>
          <w:sz w:val="24"/>
        </w:rPr>
        <w:t>。</w:t>
      </w:r>
      <w:r>
        <w:rPr>
          <w:sz w:val="24"/>
        </w:rPr>
        <w:t>本条所称货物不包括使用大型企业注册商标的货物。</w:t>
      </w:r>
    </w:p>
    <w:p>
      <w:pPr>
        <w:pStyle w:val="8"/>
        <w:spacing w:before="5" w:line="480" w:lineRule="exact"/>
        <w:ind w:left="11" w:hanging="11" w:hangingChars="5"/>
        <w:rPr>
          <w:sz w:val="22"/>
        </w:rPr>
      </w:pPr>
    </w:p>
    <w:p>
      <w:pPr>
        <w:pStyle w:val="8"/>
        <w:spacing w:line="480" w:lineRule="exact"/>
        <w:ind w:left="12" w:hanging="12" w:hangingChars="5"/>
      </w:pPr>
      <w:r>
        <w:t>本公司对上述声明的真实性负责。如有虚假，将依法承担相应责任。</w:t>
      </w:r>
    </w:p>
    <w:p>
      <w:pPr>
        <w:pStyle w:val="8"/>
        <w:ind w:left="12" w:hanging="12" w:hangingChars="5"/>
      </w:pPr>
    </w:p>
    <w:p>
      <w:pPr>
        <w:pStyle w:val="8"/>
        <w:ind w:left="9" w:hanging="9" w:hangingChars="5"/>
        <w:rPr>
          <w:sz w:val="19"/>
        </w:rPr>
      </w:pPr>
    </w:p>
    <w:p>
      <w:pPr>
        <w:pStyle w:val="8"/>
        <w:tabs>
          <w:tab w:val="left" w:pos="7195"/>
        </w:tabs>
        <w:spacing w:before="1" w:line="614" w:lineRule="auto"/>
        <w:ind w:left="12" w:hanging="12" w:hangingChars="5"/>
        <w:rPr>
          <w:spacing w:val="-10"/>
        </w:rPr>
      </w:pPr>
      <w:r>
        <w:t>企业名称（盖章</w:t>
      </w:r>
      <w:r>
        <w:rPr>
          <w:spacing w:val="-10"/>
        </w:rPr>
        <w:t xml:space="preserve">）： </w:t>
      </w:r>
    </w:p>
    <w:p>
      <w:pPr>
        <w:pStyle w:val="8"/>
        <w:tabs>
          <w:tab w:val="left" w:pos="7195"/>
        </w:tabs>
        <w:spacing w:before="1" w:line="614" w:lineRule="auto"/>
        <w:ind w:left="12" w:hanging="12" w:hangingChars="5"/>
      </w:pPr>
      <w:r>
        <w:t>日期：</w:t>
      </w:r>
    </w:p>
    <w:p>
      <w:pPr>
        <w:pStyle w:val="8"/>
        <w:tabs>
          <w:tab w:val="left" w:pos="7195"/>
        </w:tabs>
        <w:spacing w:before="1" w:line="614" w:lineRule="auto"/>
        <w:ind w:left="12" w:hanging="12" w:hangingChars="5"/>
      </w:pPr>
      <w:r>
        <w:br w:type="page"/>
      </w:r>
    </w:p>
    <w:p>
      <w:pPr>
        <w:pStyle w:val="3"/>
        <w:ind w:left="2712"/>
        <w:rPr>
          <w:sz w:val="30"/>
        </w:rPr>
      </w:pPr>
      <w:bookmarkStart w:id="68" w:name="_Toc2146_WPSOffice_Level1"/>
      <w:r>
        <w:t>附件十：残疾人福利性单位声明函</w:t>
      </w:r>
      <w:bookmarkEnd w:id="68"/>
    </w:p>
    <w:p>
      <w:pPr>
        <w:pStyle w:val="8"/>
        <w:tabs>
          <w:tab w:val="left" w:pos="2767"/>
          <w:tab w:val="left" w:pos="4215"/>
        </w:tabs>
        <w:spacing w:line="480" w:lineRule="exact"/>
        <w:ind w:firstLine="439" w:firstLineChars="183"/>
        <w:jc w:val="both"/>
      </w:pPr>
      <w:r>
        <w:t>本单位郑重声明，根据《财政部民政部中国残疾人联合会关于促进残疾人就业政府采购政策的通知</w:t>
      </w:r>
      <w:r>
        <w:rPr>
          <w:spacing w:val="-3"/>
        </w:rPr>
        <w:t>》</w:t>
      </w:r>
      <w:r>
        <w:t>（财</w:t>
      </w:r>
      <w:r>
        <w:rPr>
          <w:spacing w:val="-3"/>
        </w:rPr>
        <w:t>库</w:t>
      </w:r>
      <w:r>
        <w:t>〔2017〕141号</w:t>
      </w:r>
      <w:r>
        <w:rPr>
          <w:spacing w:val="-3"/>
        </w:rPr>
        <w:t>）</w:t>
      </w:r>
      <w:r>
        <w:t>的规定，本单位为符合条件的残疾人福利性</w:t>
      </w:r>
      <w:r>
        <w:rPr>
          <w:spacing w:val="-14"/>
        </w:rPr>
        <w:t>单</w:t>
      </w:r>
      <w:r>
        <w:t>位，且本单位参加</w:t>
      </w:r>
      <w:r>
        <w:rPr>
          <w:u w:val="single"/>
        </w:rPr>
        <w:tab/>
      </w:r>
      <w:r>
        <w:t>单位的</w:t>
      </w:r>
      <w:r>
        <w:rPr>
          <w:u w:val="single"/>
        </w:rPr>
        <w:tab/>
      </w:r>
      <w:r>
        <w:rPr>
          <w:u w:val="single"/>
        </w:rPr>
        <w:t>项目</w:t>
      </w:r>
      <w:r>
        <w:t>采购活动提供本单位制造的货物（由本单位承担工程/提供服务</w:t>
      </w:r>
      <w:r>
        <w:rPr>
          <w:spacing w:val="-23"/>
        </w:rPr>
        <w:t>），</w:t>
      </w:r>
      <w:r>
        <w:t>或者提供其他残疾人福利性单位制造的货</w:t>
      </w:r>
      <w:r>
        <w:rPr>
          <w:spacing w:val="-24"/>
        </w:rPr>
        <w:t>物</w:t>
      </w:r>
      <w:r>
        <w:t>（不包括使用非残疾人</w:t>
      </w:r>
      <w:r>
        <w:rPr>
          <w:spacing w:val="-11"/>
        </w:rPr>
        <w:t>福</w:t>
      </w:r>
      <w:r>
        <w:t>利性单位注册商标的货物）。</w:t>
      </w:r>
    </w:p>
    <w:p>
      <w:pPr>
        <w:pStyle w:val="8"/>
        <w:spacing w:before="1" w:line="480" w:lineRule="exact"/>
        <w:ind w:left="12" w:hanging="12" w:hangingChars="5"/>
      </w:pPr>
      <w:r>
        <w:t>本单位对上述声明的真实性负责。如有虚假，将依法承担相应责任。</w:t>
      </w:r>
    </w:p>
    <w:p>
      <w:pPr>
        <w:pStyle w:val="8"/>
      </w:pPr>
    </w:p>
    <w:p>
      <w:pPr>
        <w:pStyle w:val="8"/>
      </w:pPr>
    </w:p>
    <w:p>
      <w:pPr>
        <w:pStyle w:val="8"/>
      </w:pPr>
    </w:p>
    <w:p>
      <w:pPr>
        <w:pStyle w:val="8"/>
        <w:tabs>
          <w:tab w:val="left" w:pos="2767"/>
          <w:tab w:val="left" w:pos="4215"/>
        </w:tabs>
        <w:spacing w:line="480" w:lineRule="exact"/>
        <w:jc w:val="both"/>
      </w:pPr>
      <w:r>
        <w:t>单位名称（盖章）：</w:t>
      </w:r>
    </w:p>
    <w:p>
      <w:pPr>
        <w:pStyle w:val="8"/>
        <w:tabs>
          <w:tab w:val="left" w:pos="2767"/>
          <w:tab w:val="left" w:pos="4215"/>
        </w:tabs>
        <w:spacing w:line="480" w:lineRule="exact"/>
        <w:jc w:val="both"/>
      </w:pPr>
      <w:r>
        <w:t>日期：</w:t>
      </w:r>
    </w:p>
    <w:p>
      <w:pPr>
        <w:pStyle w:val="8"/>
        <w:tabs>
          <w:tab w:val="left" w:pos="7195"/>
        </w:tabs>
        <w:spacing w:before="1" w:line="614" w:lineRule="auto"/>
        <w:ind w:left="12" w:hanging="12" w:hangingChars="5"/>
      </w:pPr>
      <w:r>
        <w:br w:type="page"/>
      </w:r>
    </w:p>
    <w:p>
      <w:pPr>
        <w:pStyle w:val="8"/>
        <w:tabs>
          <w:tab w:val="left" w:pos="7195"/>
        </w:tabs>
        <w:spacing w:before="1" w:line="615" w:lineRule="auto"/>
        <w:ind w:left="14" w:hanging="14" w:hangingChars="5"/>
        <w:outlineLvl w:val="2"/>
        <w:rPr>
          <w:b/>
          <w:bCs/>
          <w:sz w:val="28"/>
          <w:szCs w:val="28"/>
        </w:rPr>
      </w:pPr>
      <w:bookmarkStart w:id="69" w:name="_Toc2275_WPSOffice_Level1"/>
      <w:r>
        <w:rPr>
          <w:rFonts w:hint="eastAsia"/>
          <w:b/>
          <w:bCs/>
          <w:sz w:val="28"/>
          <w:szCs w:val="28"/>
        </w:rPr>
        <w:t>附件十一：</w:t>
      </w:r>
      <w:r>
        <w:rPr>
          <w:rFonts w:hint="eastAsia"/>
          <w:b/>
          <w:sz w:val="30"/>
          <w:szCs w:val="30"/>
        </w:rPr>
        <w:t>承诺书</w:t>
      </w:r>
      <w:bookmarkEnd w:id="69"/>
    </w:p>
    <w:p>
      <w:pPr>
        <w:jc w:val="center"/>
        <w:rPr>
          <w:b/>
          <w:color w:val="FF0000"/>
          <w:sz w:val="30"/>
          <w:szCs w:val="30"/>
        </w:rPr>
      </w:pPr>
      <w:bookmarkStart w:id="70" w:name="_Toc19169_WPSOffice_Level2"/>
      <w:bookmarkStart w:id="71" w:name="_Toc26716_WPSOffice_Level2"/>
      <w:r>
        <w:rPr>
          <w:rFonts w:hint="eastAsia"/>
          <w:b/>
          <w:sz w:val="32"/>
        </w:rPr>
        <w:t>金乡县人民医院检验科及病理科外包检查项目</w:t>
      </w:r>
      <w:bookmarkEnd w:id="70"/>
      <w:bookmarkEnd w:id="71"/>
      <w:r>
        <w:rPr>
          <w:rFonts w:hint="eastAsia"/>
          <w:b/>
          <w:sz w:val="32"/>
        </w:rPr>
        <w:t>（A）包三次</w:t>
      </w:r>
    </w:p>
    <w:p>
      <w:pPr>
        <w:spacing w:line="560" w:lineRule="exact"/>
        <w:jc w:val="center"/>
        <w:rPr>
          <w:b/>
          <w:sz w:val="30"/>
          <w:szCs w:val="30"/>
        </w:rPr>
      </w:pPr>
      <w:bookmarkStart w:id="72" w:name="_Toc1746_WPSOffice_Level2"/>
      <w:bookmarkStart w:id="73" w:name="_Toc28127_WPSOffice_Level2"/>
      <w:r>
        <w:rPr>
          <w:rFonts w:hint="eastAsia"/>
          <w:b/>
          <w:sz w:val="30"/>
          <w:szCs w:val="30"/>
        </w:rPr>
        <w:t>公共资源交易事前信用承诺书</w:t>
      </w:r>
      <w:bookmarkEnd w:id="72"/>
      <w:bookmarkEnd w:id="73"/>
    </w:p>
    <w:p>
      <w:pPr>
        <w:spacing w:line="560" w:lineRule="exact"/>
        <w:jc w:val="center"/>
        <w:rPr>
          <w:b/>
          <w:sz w:val="30"/>
          <w:szCs w:val="30"/>
        </w:rPr>
      </w:pPr>
      <w:bookmarkStart w:id="74" w:name="_Toc8501_WPSOffice_Level2"/>
      <w:bookmarkStart w:id="75" w:name="_Toc31728_WPSOffice_Level2"/>
      <w:r>
        <w:rPr>
          <w:rFonts w:hint="eastAsia"/>
          <w:b/>
          <w:sz w:val="30"/>
          <w:szCs w:val="30"/>
        </w:rPr>
        <w:t>（投标单位）</w:t>
      </w:r>
      <w:bookmarkEnd w:id="74"/>
      <w:bookmarkEnd w:id="75"/>
    </w:p>
    <w:p>
      <w:pPr>
        <w:pStyle w:val="8"/>
        <w:spacing w:before="66" w:line="480" w:lineRule="exact"/>
        <w:ind w:firstLine="463" w:firstLineChars="193"/>
      </w:pPr>
      <w:r>
        <w:t>为努力营造公开、公平、公正、诚实守信的公共资源交易环境，树立诚信守法的供应商形象，本单位作出以下承诺：</w:t>
      </w:r>
    </w:p>
    <w:p>
      <w:pPr>
        <w:pStyle w:val="8"/>
        <w:spacing w:before="1" w:line="480" w:lineRule="exact"/>
        <w:ind w:left="12" w:hanging="12" w:hangingChars="5"/>
      </w:pPr>
      <w:r>
        <w:t>（一）本单位所提交的企（事）业单位基本信息、企（事）业负责人、项目负责人、</w:t>
      </w:r>
      <w:r>
        <w:rPr>
          <w:spacing w:val="-9"/>
        </w:rPr>
        <w:t>技术负责人、从业资质和资格、业绩、财务状况、信誉等所有资料，均合法、真实、准确、</w:t>
      </w:r>
      <w:r>
        <w:t>有效，无任何伪造、篡改、虚假成份，并对所提供资料的真实性负责。</w:t>
      </w:r>
    </w:p>
    <w:p>
      <w:pPr>
        <w:pStyle w:val="8"/>
        <w:spacing w:before="1" w:line="480" w:lineRule="exact"/>
        <w:ind w:left="12" w:hanging="12" w:hangingChars="5"/>
      </w:pPr>
      <w:r>
        <w:t>（二）严格依照国家和省市关于公共资源交易的法律、法规、规章、规范性文件，参加公共资源交易活动；积极履行社会责任，切实遵守廉政纪律，促进廉政建设。</w:t>
      </w:r>
    </w:p>
    <w:p>
      <w:pPr>
        <w:pStyle w:val="8"/>
        <w:spacing w:line="480" w:lineRule="exact"/>
        <w:ind w:left="12" w:hanging="12" w:hangingChars="5"/>
      </w:pPr>
      <w:r>
        <w:t>（三）严格遵守即时信息公示规定，及时维护和更新公共资源交易中心电子交易网网员库中信息。</w:t>
      </w:r>
    </w:p>
    <w:p>
      <w:pPr>
        <w:pStyle w:val="8"/>
        <w:spacing w:before="1" w:line="480" w:lineRule="exact"/>
        <w:ind w:left="12" w:hanging="12" w:hangingChars="5"/>
      </w:pPr>
      <w:r>
        <w:rPr>
          <w:spacing w:val="-3"/>
        </w:rPr>
        <w:t>（</w:t>
      </w:r>
      <w:r>
        <w:t>四</w:t>
      </w:r>
      <w:r>
        <w:rPr>
          <w:spacing w:val="-17"/>
        </w:rPr>
        <w:t>）</w:t>
      </w:r>
      <w:r>
        <w:rPr>
          <w:spacing w:val="-10"/>
        </w:rPr>
        <w:t>自我约束、自我管理，守合同、重信用，不参与围标串标、弄虚作假、骗取中标、</w:t>
      </w:r>
      <w:r>
        <w:t>干扰评标、违约毁约等行为，自觉维护公共资源的良好秩序。</w:t>
      </w:r>
    </w:p>
    <w:p>
      <w:pPr>
        <w:pStyle w:val="8"/>
        <w:spacing w:line="480" w:lineRule="exact"/>
        <w:ind w:left="12" w:hanging="12" w:hangingChars="5"/>
      </w:pPr>
      <w:r>
        <w:t>（五）自觉接受政府、行业组织、社会公众、新闻舆论的监督。</w:t>
      </w:r>
    </w:p>
    <w:p>
      <w:pPr>
        <w:pStyle w:val="8"/>
        <w:spacing w:line="480" w:lineRule="exact"/>
        <w:ind w:left="12" w:hanging="12" w:hangingChars="5"/>
      </w:pPr>
      <w:r>
        <w:rPr>
          <w:rFonts w:hint="eastAsia"/>
        </w:rPr>
        <w:t>（六）</w:t>
      </w:r>
      <w:r>
        <w:t>保证不拖欠农民工工资。</w:t>
      </w:r>
    </w:p>
    <w:p>
      <w:pPr>
        <w:pStyle w:val="8"/>
        <w:spacing w:line="480" w:lineRule="exact"/>
        <w:ind w:left="12" w:hanging="12" w:hangingChars="5"/>
      </w:pPr>
      <w:r>
        <w:rPr>
          <w:rFonts w:hint="eastAsia"/>
        </w:rPr>
        <w:t>（七）</w:t>
      </w:r>
      <w:r>
        <w:t>自愿接受公共资源交易监督管理机构和有关行政监督部门的依法检查。如发生违法违规或不良行为，自愿接受公共资源交易监督管理机构和有关行政监督部门依法给予的行政处罚（处理），并依法承担相应责任；</w:t>
      </w:r>
    </w:p>
    <w:p>
      <w:pPr>
        <w:pStyle w:val="8"/>
        <w:spacing w:before="1" w:line="480" w:lineRule="exact"/>
        <w:ind w:left="12" w:hanging="12" w:hangingChars="5"/>
      </w:pPr>
      <w:r>
        <w:t>特此承诺，敬请社会各界予以监督。</w:t>
      </w:r>
    </w:p>
    <w:p>
      <w:pPr>
        <w:spacing w:line="560" w:lineRule="exact"/>
        <w:jc w:val="center"/>
        <w:rPr>
          <w:b/>
          <w:sz w:val="30"/>
          <w:szCs w:val="30"/>
        </w:rPr>
      </w:pPr>
    </w:p>
    <w:p>
      <w:pPr>
        <w:pStyle w:val="8"/>
        <w:ind w:firstLine="3600" w:firstLineChars="1500"/>
        <w:jc w:val="both"/>
      </w:pPr>
      <w:r>
        <w:t>承诺单位：（盖章）</w:t>
      </w:r>
    </w:p>
    <w:p>
      <w:pPr>
        <w:pStyle w:val="8"/>
        <w:spacing w:before="12"/>
        <w:rPr>
          <w:sz w:val="26"/>
        </w:rPr>
      </w:pPr>
    </w:p>
    <w:p>
      <w:pPr>
        <w:pStyle w:val="8"/>
        <w:ind w:left="14" w:hanging="14" w:hangingChars="6"/>
        <w:jc w:val="center"/>
      </w:pPr>
      <w:bookmarkStart w:id="76" w:name="_Toc7573_WPSOffice_Level2"/>
      <w:bookmarkStart w:id="77" w:name="_Toc29350_WPSOffice_Level2"/>
      <w:r>
        <w:t>法定代表人/负责人或授权委托人：</w:t>
      </w:r>
      <w:bookmarkEnd w:id="76"/>
      <w:bookmarkEnd w:id="77"/>
    </w:p>
    <w:p>
      <w:pPr>
        <w:pStyle w:val="8"/>
        <w:spacing w:before="12"/>
        <w:rPr>
          <w:sz w:val="26"/>
        </w:rPr>
      </w:pPr>
    </w:p>
    <w:p>
      <w:pPr>
        <w:pStyle w:val="8"/>
        <w:tabs>
          <w:tab w:val="left" w:pos="479"/>
          <w:tab w:val="left" w:pos="959"/>
        </w:tabs>
        <w:jc w:val="right"/>
      </w:pPr>
      <w:r>
        <w:t>年</w:t>
      </w:r>
      <w:r>
        <w:tab/>
      </w:r>
      <w:r>
        <w:t>月</w:t>
      </w:r>
      <w:r>
        <w:tab/>
      </w:r>
      <w:r>
        <w:t>日</w:t>
      </w:r>
    </w:p>
    <w:p>
      <w:pPr>
        <w:pStyle w:val="8"/>
        <w:tabs>
          <w:tab w:val="left" w:pos="7195"/>
        </w:tabs>
        <w:spacing w:before="1" w:line="615" w:lineRule="auto"/>
        <w:ind w:left="14" w:hanging="14" w:hangingChars="5"/>
        <w:jc w:val="center"/>
        <w:outlineLvl w:val="2"/>
        <w:rPr>
          <w:b/>
          <w:bCs/>
          <w:sz w:val="28"/>
          <w:szCs w:val="28"/>
        </w:rPr>
      </w:pPr>
      <w:bookmarkStart w:id="78" w:name="_Toc5843_WPSOffice_Level1"/>
      <w:r>
        <w:rPr>
          <w:rFonts w:hint="eastAsia"/>
          <w:b/>
          <w:bCs/>
          <w:sz w:val="28"/>
          <w:szCs w:val="28"/>
        </w:rPr>
        <w:t>附件十二： 封面格式</w:t>
      </w:r>
      <w:bookmarkEnd w:id="78"/>
    </w:p>
    <w:p/>
    <w:tbl>
      <w:tblPr>
        <w:tblStyle w:val="19"/>
        <w:tblW w:w="9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8"/>
        <w:gridCol w:w="4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8" w:type="dxa"/>
            <w:vAlign w:val="top"/>
          </w:tcPr>
          <w:p>
            <w:pPr>
              <w:tabs>
                <w:tab w:val="left" w:pos="9240"/>
              </w:tabs>
              <w:spacing w:before="86" w:line="480" w:lineRule="exact"/>
              <w:ind w:left="-17" w:right="-108" w:rightChars="-49" w:firstLine="17"/>
              <w:jc w:val="both"/>
              <w:rPr>
                <w:b/>
                <w:sz w:val="30"/>
              </w:rPr>
            </w:pPr>
            <w:r>
              <w:rPr>
                <w:rFonts w:hint="eastAsia"/>
                <w:b/>
                <w:sz w:val="30"/>
              </w:rPr>
              <w:t>投标文件</w:t>
            </w:r>
          </w:p>
          <w:p>
            <w:pPr>
              <w:tabs>
                <w:tab w:val="left" w:pos="9240"/>
              </w:tabs>
              <w:spacing w:before="86" w:line="480" w:lineRule="exact"/>
              <w:ind w:left="-17" w:right="-108" w:rightChars="-49" w:firstLine="17"/>
              <w:jc w:val="both"/>
              <w:rPr>
                <w:sz w:val="28"/>
              </w:rPr>
            </w:pPr>
            <w:r>
              <w:rPr>
                <w:sz w:val="28"/>
              </w:rPr>
              <w:t xml:space="preserve">项目编号： </w:t>
            </w:r>
          </w:p>
          <w:p>
            <w:pPr>
              <w:tabs>
                <w:tab w:val="left" w:pos="9240"/>
              </w:tabs>
              <w:spacing w:before="86" w:line="480" w:lineRule="exact"/>
              <w:ind w:left="-17" w:right="-108" w:rightChars="-49" w:firstLine="17"/>
              <w:jc w:val="both"/>
              <w:rPr>
                <w:sz w:val="28"/>
              </w:rPr>
            </w:pPr>
            <w:r>
              <w:rPr>
                <w:sz w:val="28"/>
              </w:rPr>
              <w:t>项目名称：</w:t>
            </w:r>
          </w:p>
          <w:p>
            <w:pPr>
              <w:spacing w:before="5" w:line="480" w:lineRule="exact"/>
              <w:ind w:right="-108" w:rightChars="-49"/>
              <w:jc w:val="both"/>
              <w:rPr>
                <w:spacing w:val="-9"/>
                <w:sz w:val="28"/>
              </w:rPr>
            </w:pPr>
            <w:r>
              <w:rPr>
                <w:spacing w:val="-3"/>
                <w:sz w:val="28"/>
              </w:rPr>
              <w:t>投标人名称</w:t>
            </w:r>
            <w:r>
              <w:rPr>
                <w:sz w:val="28"/>
              </w:rPr>
              <w:t>（</w:t>
            </w:r>
            <w:r>
              <w:rPr>
                <w:spacing w:val="-2"/>
                <w:sz w:val="28"/>
              </w:rPr>
              <w:t>公章</w:t>
            </w:r>
            <w:r>
              <w:rPr>
                <w:spacing w:val="-9"/>
                <w:sz w:val="28"/>
              </w:rPr>
              <w:t xml:space="preserve">）： </w:t>
            </w:r>
          </w:p>
          <w:p>
            <w:pPr>
              <w:spacing w:before="5" w:line="480" w:lineRule="exact"/>
              <w:ind w:right="-108" w:rightChars="-49"/>
              <w:jc w:val="both"/>
              <w:rPr>
                <w:sz w:val="28"/>
              </w:rPr>
            </w:pPr>
            <w:r>
              <w:rPr>
                <w:spacing w:val="-2"/>
                <w:sz w:val="28"/>
              </w:rPr>
              <w:t>包号：</w:t>
            </w:r>
          </w:p>
          <w:p>
            <w:pPr>
              <w:spacing w:line="480" w:lineRule="exact"/>
              <w:ind w:right="-108" w:rightChars="-49"/>
              <w:jc w:val="both"/>
              <w:rPr>
                <w:spacing w:val="-7"/>
                <w:sz w:val="28"/>
              </w:rPr>
            </w:pPr>
            <w:r>
              <w:rPr>
                <w:spacing w:val="-7"/>
                <w:sz w:val="28"/>
              </w:rPr>
              <w:t xml:space="preserve">地址： </w:t>
            </w:r>
          </w:p>
          <w:p>
            <w:pPr>
              <w:spacing w:line="480" w:lineRule="exact"/>
              <w:ind w:right="-108" w:rightChars="-49"/>
              <w:jc w:val="both"/>
              <w:rPr>
                <w:spacing w:val="-7"/>
                <w:sz w:val="28"/>
              </w:rPr>
            </w:pPr>
            <w:r>
              <w:rPr>
                <w:spacing w:val="-7"/>
                <w:sz w:val="28"/>
              </w:rPr>
              <w:t xml:space="preserve">电话： </w:t>
            </w:r>
          </w:p>
          <w:p>
            <w:pPr>
              <w:spacing w:before="54"/>
              <w:ind w:right="-108" w:rightChars="-49"/>
              <w:jc w:val="both"/>
              <w:rPr>
                <w:rFonts w:ascii="黑体" w:eastAsia="黑体"/>
                <w:b/>
                <w:sz w:val="32"/>
              </w:rPr>
            </w:pPr>
            <w:r>
              <w:rPr>
                <w:spacing w:val="-7"/>
                <w:sz w:val="28"/>
              </w:rPr>
              <w:t>传真：</w:t>
            </w:r>
          </w:p>
        </w:tc>
        <w:tc>
          <w:tcPr>
            <w:tcW w:w="4728" w:type="dxa"/>
            <w:vAlign w:val="top"/>
          </w:tcPr>
          <w:p>
            <w:pPr>
              <w:tabs>
                <w:tab w:val="left" w:pos="9240"/>
              </w:tabs>
              <w:spacing w:before="86" w:line="480" w:lineRule="exact"/>
              <w:ind w:left="-17" w:right="-108" w:rightChars="-49" w:firstLine="17"/>
              <w:jc w:val="both"/>
              <w:rPr>
                <w:b/>
                <w:sz w:val="30"/>
              </w:rPr>
            </w:pPr>
            <w:r>
              <w:rPr>
                <w:rFonts w:hint="eastAsia"/>
                <w:b/>
                <w:sz w:val="30"/>
              </w:rPr>
              <w:t>报价一览表</w:t>
            </w:r>
          </w:p>
          <w:p>
            <w:pPr>
              <w:tabs>
                <w:tab w:val="left" w:pos="9240"/>
              </w:tabs>
              <w:spacing w:before="86" w:line="480" w:lineRule="exact"/>
              <w:ind w:right="-108" w:rightChars="-49"/>
              <w:jc w:val="both"/>
              <w:rPr>
                <w:sz w:val="28"/>
              </w:rPr>
            </w:pPr>
            <w:r>
              <w:rPr>
                <w:sz w:val="28"/>
              </w:rPr>
              <w:t xml:space="preserve">项目编号： </w:t>
            </w:r>
          </w:p>
          <w:p>
            <w:pPr>
              <w:tabs>
                <w:tab w:val="left" w:pos="9240"/>
              </w:tabs>
              <w:spacing w:before="86" w:line="480" w:lineRule="exact"/>
              <w:ind w:left="-17" w:right="-108" w:rightChars="-49" w:firstLine="17"/>
              <w:jc w:val="both"/>
              <w:rPr>
                <w:sz w:val="28"/>
              </w:rPr>
            </w:pPr>
            <w:r>
              <w:rPr>
                <w:sz w:val="28"/>
              </w:rPr>
              <w:t>项目名称：</w:t>
            </w:r>
          </w:p>
          <w:p>
            <w:pPr>
              <w:spacing w:before="5" w:line="480" w:lineRule="exact"/>
              <w:ind w:right="-108" w:rightChars="-49"/>
              <w:jc w:val="both"/>
              <w:rPr>
                <w:spacing w:val="-9"/>
                <w:sz w:val="28"/>
              </w:rPr>
            </w:pPr>
            <w:r>
              <w:rPr>
                <w:spacing w:val="-3"/>
                <w:sz w:val="28"/>
              </w:rPr>
              <w:t>投标人名称</w:t>
            </w:r>
            <w:r>
              <w:rPr>
                <w:sz w:val="28"/>
              </w:rPr>
              <w:t>（</w:t>
            </w:r>
            <w:r>
              <w:rPr>
                <w:spacing w:val="-2"/>
                <w:sz w:val="28"/>
              </w:rPr>
              <w:t>公章</w:t>
            </w:r>
            <w:r>
              <w:rPr>
                <w:spacing w:val="-9"/>
                <w:sz w:val="28"/>
              </w:rPr>
              <w:t xml:space="preserve">）： </w:t>
            </w:r>
          </w:p>
          <w:p>
            <w:pPr>
              <w:spacing w:before="5" w:line="480" w:lineRule="exact"/>
              <w:ind w:right="-108" w:rightChars="-49"/>
              <w:jc w:val="both"/>
              <w:rPr>
                <w:sz w:val="28"/>
              </w:rPr>
            </w:pPr>
            <w:r>
              <w:rPr>
                <w:spacing w:val="-2"/>
                <w:sz w:val="28"/>
              </w:rPr>
              <w:t>包号：</w:t>
            </w:r>
          </w:p>
          <w:p>
            <w:pPr>
              <w:spacing w:line="480" w:lineRule="exact"/>
              <w:ind w:right="-108" w:rightChars="-49"/>
              <w:jc w:val="both"/>
              <w:rPr>
                <w:spacing w:val="-7"/>
                <w:sz w:val="28"/>
              </w:rPr>
            </w:pPr>
            <w:r>
              <w:rPr>
                <w:spacing w:val="-7"/>
                <w:sz w:val="28"/>
              </w:rPr>
              <w:t xml:space="preserve">地址： </w:t>
            </w:r>
          </w:p>
          <w:p>
            <w:pPr>
              <w:spacing w:line="480" w:lineRule="exact"/>
              <w:ind w:right="-108" w:rightChars="-49"/>
              <w:jc w:val="both"/>
              <w:rPr>
                <w:spacing w:val="-7"/>
                <w:sz w:val="28"/>
              </w:rPr>
            </w:pPr>
            <w:r>
              <w:rPr>
                <w:spacing w:val="-7"/>
                <w:sz w:val="28"/>
              </w:rPr>
              <w:t xml:space="preserve">电话： </w:t>
            </w:r>
          </w:p>
          <w:p>
            <w:pPr>
              <w:spacing w:before="54"/>
              <w:ind w:right="-108" w:rightChars="-49"/>
              <w:jc w:val="both"/>
              <w:rPr>
                <w:rFonts w:ascii="黑体" w:eastAsia="黑体"/>
                <w:b/>
                <w:sz w:val="32"/>
              </w:rPr>
            </w:pPr>
            <w:r>
              <w:rPr>
                <w:spacing w:val="-7"/>
                <w:sz w:val="2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8" w:type="dxa"/>
            <w:vAlign w:val="top"/>
          </w:tcPr>
          <w:p>
            <w:pPr>
              <w:tabs>
                <w:tab w:val="left" w:pos="9240"/>
              </w:tabs>
              <w:spacing w:before="86" w:line="480" w:lineRule="exact"/>
              <w:ind w:left="-17" w:right="-108" w:rightChars="-49" w:firstLine="17"/>
              <w:jc w:val="both"/>
              <w:rPr>
                <w:b/>
                <w:sz w:val="30"/>
              </w:rPr>
            </w:pPr>
            <w:r>
              <w:rPr>
                <w:rFonts w:hint="eastAsia"/>
                <w:b/>
                <w:sz w:val="30"/>
              </w:rPr>
              <w:t>资质证明文件</w:t>
            </w:r>
          </w:p>
          <w:p>
            <w:pPr>
              <w:tabs>
                <w:tab w:val="left" w:pos="9240"/>
              </w:tabs>
              <w:spacing w:before="86" w:line="480" w:lineRule="exact"/>
              <w:ind w:left="-17" w:right="-108" w:rightChars="-49" w:firstLine="17"/>
              <w:jc w:val="both"/>
              <w:rPr>
                <w:sz w:val="28"/>
              </w:rPr>
            </w:pPr>
            <w:r>
              <w:rPr>
                <w:rFonts w:hint="eastAsia"/>
                <w:sz w:val="28"/>
              </w:rPr>
              <w:t xml:space="preserve">项目编号： </w:t>
            </w:r>
          </w:p>
          <w:p>
            <w:pPr>
              <w:tabs>
                <w:tab w:val="left" w:pos="9240"/>
              </w:tabs>
              <w:spacing w:before="86" w:line="480" w:lineRule="exact"/>
              <w:ind w:left="-17" w:right="-108" w:rightChars="-49" w:firstLine="17"/>
              <w:jc w:val="both"/>
              <w:rPr>
                <w:sz w:val="28"/>
              </w:rPr>
            </w:pPr>
            <w:r>
              <w:rPr>
                <w:rFonts w:hint="eastAsia"/>
                <w:sz w:val="28"/>
              </w:rPr>
              <w:t>项目名称：</w:t>
            </w:r>
          </w:p>
          <w:p>
            <w:pPr>
              <w:tabs>
                <w:tab w:val="left" w:pos="9240"/>
              </w:tabs>
              <w:spacing w:before="86" w:line="480" w:lineRule="exact"/>
              <w:ind w:left="-17" w:right="-108" w:rightChars="-49" w:firstLine="17"/>
              <w:jc w:val="both"/>
              <w:rPr>
                <w:sz w:val="28"/>
              </w:rPr>
            </w:pPr>
            <w:r>
              <w:rPr>
                <w:rFonts w:hint="eastAsia"/>
                <w:sz w:val="28"/>
              </w:rPr>
              <w:t xml:space="preserve">投标人名称（公章）： </w:t>
            </w:r>
          </w:p>
          <w:p>
            <w:pPr>
              <w:tabs>
                <w:tab w:val="left" w:pos="9240"/>
              </w:tabs>
              <w:spacing w:before="86" w:line="480" w:lineRule="exact"/>
              <w:ind w:left="-17" w:right="-108" w:rightChars="-49" w:firstLine="17"/>
              <w:jc w:val="both"/>
              <w:rPr>
                <w:sz w:val="28"/>
              </w:rPr>
            </w:pPr>
            <w:r>
              <w:rPr>
                <w:rFonts w:hint="eastAsia"/>
                <w:sz w:val="28"/>
              </w:rPr>
              <w:t>包号：</w:t>
            </w:r>
          </w:p>
          <w:p>
            <w:pPr>
              <w:tabs>
                <w:tab w:val="left" w:pos="9240"/>
              </w:tabs>
              <w:spacing w:before="86" w:line="480" w:lineRule="exact"/>
              <w:ind w:left="-17" w:right="-108" w:rightChars="-49" w:firstLine="17"/>
              <w:jc w:val="both"/>
              <w:rPr>
                <w:sz w:val="28"/>
              </w:rPr>
            </w:pPr>
            <w:r>
              <w:rPr>
                <w:rFonts w:hint="eastAsia"/>
                <w:sz w:val="28"/>
              </w:rPr>
              <w:t xml:space="preserve">地址： </w:t>
            </w:r>
          </w:p>
          <w:p>
            <w:pPr>
              <w:tabs>
                <w:tab w:val="left" w:pos="9240"/>
              </w:tabs>
              <w:spacing w:before="86" w:line="480" w:lineRule="exact"/>
              <w:ind w:left="-17" w:right="-108" w:rightChars="-49" w:firstLine="17"/>
              <w:jc w:val="both"/>
              <w:rPr>
                <w:sz w:val="28"/>
              </w:rPr>
            </w:pPr>
            <w:r>
              <w:rPr>
                <w:rFonts w:hint="eastAsia"/>
                <w:sz w:val="28"/>
              </w:rPr>
              <w:t xml:space="preserve">电话： </w:t>
            </w:r>
          </w:p>
          <w:p>
            <w:pPr>
              <w:tabs>
                <w:tab w:val="left" w:pos="9240"/>
              </w:tabs>
              <w:spacing w:before="86" w:line="480" w:lineRule="exact"/>
              <w:ind w:left="-17" w:right="-108" w:rightChars="-49" w:firstLine="17"/>
              <w:jc w:val="both"/>
              <w:rPr>
                <w:spacing w:val="-7"/>
                <w:sz w:val="28"/>
              </w:rPr>
            </w:pPr>
            <w:r>
              <w:rPr>
                <w:rFonts w:hint="eastAsia"/>
                <w:sz w:val="28"/>
              </w:rPr>
              <w:t>传真：</w:t>
            </w:r>
          </w:p>
        </w:tc>
        <w:tc>
          <w:tcPr>
            <w:tcW w:w="4728" w:type="dxa"/>
            <w:vAlign w:val="top"/>
          </w:tcPr>
          <w:p>
            <w:pPr>
              <w:tabs>
                <w:tab w:val="left" w:pos="4620"/>
                <w:tab w:val="left" w:pos="9240"/>
              </w:tabs>
              <w:spacing w:before="86" w:line="480" w:lineRule="exact"/>
              <w:ind w:left="-17" w:right="-108" w:rightChars="-49" w:firstLine="17"/>
              <w:jc w:val="both"/>
              <w:rPr>
                <w:b/>
                <w:sz w:val="30"/>
              </w:rPr>
            </w:pPr>
            <w:r>
              <w:rPr>
                <w:rFonts w:hint="eastAsia"/>
                <w:b/>
                <w:sz w:val="30"/>
              </w:rPr>
              <w:t>电子版</w:t>
            </w:r>
            <w:r>
              <w:rPr>
                <w:b/>
                <w:sz w:val="30"/>
              </w:rPr>
              <w:t>投标文件</w:t>
            </w:r>
          </w:p>
          <w:p>
            <w:pPr>
              <w:tabs>
                <w:tab w:val="left" w:pos="9240"/>
              </w:tabs>
              <w:spacing w:before="86" w:line="480" w:lineRule="exact"/>
              <w:ind w:left="-17" w:right="-108" w:rightChars="-49" w:firstLine="17"/>
              <w:jc w:val="both"/>
              <w:rPr>
                <w:sz w:val="28"/>
              </w:rPr>
            </w:pPr>
            <w:r>
              <w:rPr>
                <w:rFonts w:hint="eastAsia"/>
                <w:sz w:val="28"/>
              </w:rPr>
              <w:t xml:space="preserve">项目编号： </w:t>
            </w:r>
          </w:p>
          <w:p>
            <w:pPr>
              <w:tabs>
                <w:tab w:val="left" w:pos="9240"/>
              </w:tabs>
              <w:spacing w:before="86" w:line="480" w:lineRule="exact"/>
              <w:ind w:left="-17" w:right="-108" w:rightChars="-49" w:firstLine="17"/>
              <w:jc w:val="both"/>
              <w:rPr>
                <w:sz w:val="28"/>
              </w:rPr>
            </w:pPr>
            <w:r>
              <w:rPr>
                <w:rFonts w:hint="eastAsia"/>
                <w:sz w:val="28"/>
              </w:rPr>
              <w:t>项目名称：</w:t>
            </w:r>
          </w:p>
          <w:p>
            <w:pPr>
              <w:tabs>
                <w:tab w:val="left" w:pos="9240"/>
              </w:tabs>
              <w:spacing w:before="86" w:line="480" w:lineRule="exact"/>
              <w:ind w:left="-17" w:right="-108" w:rightChars="-49" w:firstLine="17"/>
              <w:jc w:val="both"/>
              <w:rPr>
                <w:sz w:val="28"/>
              </w:rPr>
            </w:pPr>
            <w:r>
              <w:rPr>
                <w:rFonts w:hint="eastAsia"/>
                <w:sz w:val="28"/>
              </w:rPr>
              <w:t xml:space="preserve">投标人名称（公章）： </w:t>
            </w:r>
          </w:p>
          <w:p>
            <w:pPr>
              <w:tabs>
                <w:tab w:val="left" w:pos="9240"/>
              </w:tabs>
              <w:spacing w:before="86" w:line="480" w:lineRule="exact"/>
              <w:ind w:left="-17" w:right="-108" w:rightChars="-49" w:firstLine="17"/>
              <w:jc w:val="both"/>
              <w:rPr>
                <w:sz w:val="28"/>
              </w:rPr>
            </w:pPr>
            <w:r>
              <w:rPr>
                <w:rFonts w:hint="eastAsia"/>
                <w:sz w:val="28"/>
              </w:rPr>
              <w:t>包号：</w:t>
            </w:r>
          </w:p>
          <w:p>
            <w:pPr>
              <w:tabs>
                <w:tab w:val="left" w:pos="9240"/>
              </w:tabs>
              <w:spacing w:before="86" w:line="480" w:lineRule="exact"/>
              <w:ind w:left="-17" w:right="-108" w:rightChars="-49" w:firstLine="17"/>
              <w:jc w:val="both"/>
              <w:rPr>
                <w:sz w:val="28"/>
              </w:rPr>
            </w:pPr>
            <w:r>
              <w:rPr>
                <w:rFonts w:hint="eastAsia"/>
                <w:sz w:val="28"/>
              </w:rPr>
              <w:t xml:space="preserve">地址： </w:t>
            </w:r>
          </w:p>
          <w:p>
            <w:pPr>
              <w:tabs>
                <w:tab w:val="left" w:pos="9240"/>
              </w:tabs>
              <w:spacing w:before="86" w:line="480" w:lineRule="exact"/>
              <w:ind w:left="-17" w:right="-108" w:rightChars="-49" w:firstLine="17"/>
              <w:jc w:val="both"/>
              <w:rPr>
                <w:sz w:val="28"/>
              </w:rPr>
            </w:pPr>
            <w:r>
              <w:rPr>
                <w:rFonts w:hint="eastAsia"/>
                <w:sz w:val="28"/>
              </w:rPr>
              <w:t xml:space="preserve">电话： </w:t>
            </w:r>
          </w:p>
          <w:p>
            <w:pPr>
              <w:tabs>
                <w:tab w:val="left" w:pos="9240"/>
              </w:tabs>
              <w:spacing w:before="86" w:line="480" w:lineRule="exact"/>
              <w:ind w:left="-17" w:right="-108" w:rightChars="-49" w:firstLine="17"/>
              <w:jc w:val="both"/>
              <w:rPr>
                <w:spacing w:val="-7"/>
                <w:sz w:val="28"/>
              </w:rPr>
            </w:pPr>
            <w:r>
              <w:rPr>
                <w:rFonts w:hint="eastAsia"/>
                <w:sz w:val="28"/>
              </w:rPr>
              <w:t>传真：</w:t>
            </w:r>
          </w:p>
        </w:tc>
      </w:tr>
    </w:tbl>
    <w:p>
      <w:pPr>
        <w:spacing w:before="54"/>
        <w:rPr>
          <w:rFonts w:ascii="黑体" w:eastAsia="黑体"/>
          <w:b/>
          <w:sz w:val="32"/>
          <w:lang w:val="en-US"/>
        </w:rPr>
      </w:pPr>
      <w:bookmarkStart w:id="79" w:name="_Toc1694_WPSOffice_Level1"/>
      <w:r>
        <w:rPr>
          <w:rFonts w:hint="eastAsia" w:ascii="黑体" w:eastAsia="黑体"/>
          <w:b/>
          <w:sz w:val="32"/>
          <w:lang w:val="en-US"/>
        </w:rPr>
        <w:t>封口格式</w:t>
      </w:r>
      <w:bookmarkEnd w:id="79"/>
    </w:p>
    <w:tbl>
      <w:tblPr>
        <w:tblStyle w:val="19"/>
        <w:tblW w:w="9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1" w:hRule="atLeast"/>
        </w:trPr>
        <w:tc>
          <w:tcPr>
            <w:tcW w:w="9456" w:type="dxa"/>
            <w:vAlign w:val="center"/>
          </w:tcPr>
          <w:p>
            <w:pPr>
              <w:ind w:left="103"/>
              <w:jc w:val="center"/>
              <w:rPr>
                <w:rFonts w:ascii="黑体" w:eastAsia="黑体"/>
                <w:b/>
                <w:sz w:val="32"/>
                <w:lang w:val="en-US"/>
              </w:rPr>
            </w:pPr>
            <w:r>
              <w:rPr>
                <w:sz w:val="28"/>
              </w:rPr>
              <w:t>…………于</w:t>
            </w:r>
            <w:r>
              <w:rPr>
                <w:sz w:val="28"/>
                <w:highlight w:val="yellow"/>
              </w:rPr>
              <w:t>201</w:t>
            </w:r>
            <w:r>
              <w:rPr>
                <w:rFonts w:hint="eastAsia"/>
                <w:sz w:val="28"/>
                <w:highlight w:val="yellow"/>
              </w:rPr>
              <w:t>9</w:t>
            </w:r>
            <w:r>
              <w:rPr>
                <w:sz w:val="28"/>
                <w:highlight w:val="yellow"/>
              </w:rPr>
              <w:t>年</w:t>
            </w:r>
            <w:r>
              <w:rPr>
                <w:rFonts w:hint="eastAsia"/>
                <w:sz w:val="28"/>
                <w:highlight w:val="yellow"/>
                <w:lang w:val="en-US"/>
              </w:rPr>
              <w:t>3</w:t>
            </w:r>
            <w:r>
              <w:rPr>
                <w:sz w:val="28"/>
                <w:highlight w:val="yellow"/>
              </w:rPr>
              <w:t>月</w:t>
            </w:r>
            <w:r>
              <w:rPr>
                <w:rFonts w:hint="eastAsia"/>
                <w:sz w:val="28"/>
                <w:highlight w:val="yellow"/>
                <w:lang w:val="en-US"/>
              </w:rPr>
              <w:t>28</w:t>
            </w:r>
            <w:r>
              <w:rPr>
                <w:sz w:val="28"/>
                <w:highlight w:val="yellow"/>
              </w:rPr>
              <w:t>日</w:t>
            </w:r>
            <w:r>
              <w:rPr>
                <w:rFonts w:hint="eastAsia"/>
                <w:sz w:val="28"/>
                <w:highlight w:val="yellow"/>
                <w:lang w:val="en-US"/>
              </w:rPr>
              <w:t>14</w:t>
            </w:r>
            <w:r>
              <w:rPr>
                <w:sz w:val="28"/>
                <w:highlight w:val="yellow"/>
              </w:rPr>
              <w:t>:</w:t>
            </w:r>
            <w:r>
              <w:rPr>
                <w:rFonts w:hint="eastAsia"/>
                <w:sz w:val="28"/>
                <w:highlight w:val="yellow"/>
              </w:rPr>
              <w:t>3</w:t>
            </w:r>
            <w:r>
              <w:rPr>
                <w:sz w:val="28"/>
                <w:highlight w:val="yellow"/>
              </w:rPr>
              <w:t>0</w:t>
            </w:r>
            <w:r>
              <w:rPr>
                <w:sz w:val="28"/>
              </w:rPr>
              <w:t>时之前不准启封（公章）………</w:t>
            </w:r>
          </w:p>
        </w:tc>
      </w:tr>
    </w:tbl>
    <w:p>
      <w:pPr>
        <w:spacing w:before="54"/>
        <w:rPr>
          <w:rFonts w:ascii="黑体" w:eastAsia="黑体"/>
          <w:b/>
          <w:sz w:val="32"/>
          <w:lang w:val="en-US"/>
        </w:rPr>
      </w:pPr>
    </w:p>
    <w:sectPr>
      <w:pgSz w:w="11906" w:h="16838"/>
      <w:pgMar w:top="1440" w:right="1306" w:bottom="1440" w:left="136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Pr>
    <w:r>
      <w:rPr>
        <w:rFonts w:ascii="宋体" w:hAnsi="宋体" w:eastAsia="宋体" w:cs="宋体"/>
        <w:sz w:val="18"/>
        <w:szCs w:val="22"/>
        <w:lang w:val="zh-CN" w:eastAsia="zh-CN" w:bidi="zh-CN"/>
      </w:rPr>
      <w:pict>
        <v:shape id="Quad Arrow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11"/>
                </w:pPr>
                <w:r>
                  <w:fldChar w:fldCharType="begin"/>
                </w:r>
                <w:r>
                  <w:instrText xml:space="preserve"> PAGE  \* MERGEFORMAT </w:instrText>
                </w:r>
                <w:r>
                  <w:fldChar w:fldCharType="separate"/>
                </w:r>
                <w:r>
                  <w:t>- 43 -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Bdr>
        <w:bottom w:val="single" w:color="auto" w:sz="4" w:space="1"/>
      </w:pBdr>
      <w:jc w:val="center"/>
    </w:pPr>
    <w:r>
      <w:rPr>
        <w:rFonts w:hint="eastAsia"/>
        <w:color w:val="464646"/>
      </w:rPr>
      <w:t>金乡县人民医院检验科及病理科外包检查项目（A包）招标文件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Bdr>
        <w:bottom w:val="single" w:color="auto" w:sz="4" w:space="1"/>
      </w:pBdr>
      <w:jc w:val="center"/>
    </w:pPr>
    <w:r>
      <w:rPr>
        <w:rFonts w:hint="eastAsia"/>
        <w:color w:val="464646"/>
      </w:rPr>
      <w:t>金乡县人民医院检验科及病理科外包检查项目（A包）三次招标文件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87679576">
    <w:nsid w:val="76799558"/>
    <w:multiLevelType w:val="singleLevel"/>
    <w:tmpl w:val="76799558"/>
    <w:lvl w:ilvl="0" w:tentative="1">
      <w:start w:val="1"/>
      <w:numFmt w:val="chineseCounting"/>
      <w:suff w:val="nothing"/>
      <w:lvlText w:val="%1、"/>
      <w:lvlJc w:val="left"/>
      <w:rPr>
        <w:rFonts w:hint="eastAsia"/>
      </w:rPr>
    </w:lvl>
  </w:abstractNum>
  <w:abstractNum w:abstractNumId="1714875521">
    <w:nsid w:val="6636EC81"/>
    <w:multiLevelType w:val="singleLevel"/>
    <w:tmpl w:val="6636EC81"/>
    <w:lvl w:ilvl="0" w:tentative="1">
      <w:start w:val="1"/>
      <w:numFmt w:val="decimal"/>
      <w:suff w:val="space"/>
      <w:lvlText w:val="%1."/>
      <w:lvlJc w:val="left"/>
    </w:lvl>
  </w:abstractNum>
  <w:abstractNum w:abstractNumId="1460830329">
    <w:nsid w:val="57128079"/>
    <w:multiLevelType w:val="singleLevel"/>
    <w:tmpl w:val="57128079"/>
    <w:lvl w:ilvl="0" w:tentative="1">
      <w:start w:val="2"/>
      <w:numFmt w:val="decimal"/>
      <w:suff w:val="nothing"/>
      <w:lvlText w:val="%1、"/>
      <w:lvlJc w:val="left"/>
    </w:lvl>
  </w:abstractNum>
  <w:num w:numId="1">
    <w:abstractNumId w:val="1987679576"/>
  </w:num>
  <w:num w:numId="2">
    <w:abstractNumId w:val="1460830329"/>
  </w:num>
  <w:num w:numId="3">
    <w:abstractNumId w:val="17148755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A6F4562"/>
    <w:rsid w:val="000F482F"/>
    <w:rsid w:val="00103519"/>
    <w:rsid w:val="0015082E"/>
    <w:rsid w:val="00207235"/>
    <w:rsid w:val="002B19BE"/>
    <w:rsid w:val="003814E7"/>
    <w:rsid w:val="004E0516"/>
    <w:rsid w:val="00574FE4"/>
    <w:rsid w:val="0058440F"/>
    <w:rsid w:val="005B7BD2"/>
    <w:rsid w:val="00714734"/>
    <w:rsid w:val="007A7AC2"/>
    <w:rsid w:val="007B11E4"/>
    <w:rsid w:val="007E269B"/>
    <w:rsid w:val="00851605"/>
    <w:rsid w:val="008733EB"/>
    <w:rsid w:val="00876D0A"/>
    <w:rsid w:val="008912E9"/>
    <w:rsid w:val="008B7F27"/>
    <w:rsid w:val="00911C0B"/>
    <w:rsid w:val="00A86061"/>
    <w:rsid w:val="00BC6A8C"/>
    <w:rsid w:val="00C36154"/>
    <w:rsid w:val="00C81041"/>
    <w:rsid w:val="00D20BE8"/>
    <w:rsid w:val="00F215D5"/>
    <w:rsid w:val="0293002C"/>
    <w:rsid w:val="02CF3B93"/>
    <w:rsid w:val="032B19B6"/>
    <w:rsid w:val="09E45DD6"/>
    <w:rsid w:val="0A6F4562"/>
    <w:rsid w:val="0BB859B0"/>
    <w:rsid w:val="0BF010AD"/>
    <w:rsid w:val="0DA04147"/>
    <w:rsid w:val="13A91072"/>
    <w:rsid w:val="13C7393D"/>
    <w:rsid w:val="151E0E60"/>
    <w:rsid w:val="15EC4D86"/>
    <w:rsid w:val="16E13427"/>
    <w:rsid w:val="18015C76"/>
    <w:rsid w:val="1AC94AB2"/>
    <w:rsid w:val="1B0C4ABC"/>
    <w:rsid w:val="1F8914E9"/>
    <w:rsid w:val="23BF4C10"/>
    <w:rsid w:val="27F61A9E"/>
    <w:rsid w:val="2ED7778C"/>
    <w:rsid w:val="31621052"/>
    <w:rsid w:val="338A0524"/>
    <w:rsid w:val="35D5720E"/>
    <w:rsid w:val="35F84688"/>
    <w:rsid w:val="38810029"/>
    <w:rsid w:val="38C735B6"/>
    <w:rsid w:val="39B0186E"/>
    <w:rsid w:val="3C2252B6"/>
    <w:rsid w:val="3CDF6BEE"/>
    <w:rsid w:val="42B426B8"/>
    <w:rsid w:val="4380094B"/>
    <w:rsid w:val="43EC4903"/>
    <w:rsid w:val="467B08A2"/>
    <w:rsid w:val="48FB3BCB"/>
    <w:rsid w:val="4BD008E1"/>
    <w:rsid w:val="4DB6199D"/>
    <w:rsid w:val="4EE74B80"/>
    <w:rsid w:val="4FC5456E"/>
    <w:rsid w:val="52F35B23"/>
    <w:rsid w:val="55BB7DD2"/>
    <w:rsid w:val="5641127E"/>
    <w:rsid w:val="5B505D7E"/>
    <w:rsid w:val="5E492B4A"/>
    <w:rsid w:val="63000A30"/>
    <w:rsid w:val="63631D78"/>
    <w:rsid w:val="63797345"/>
    <w:rsid w:val="645C5B4A"/>
    <w:rsid w:val="64D65CFB"/>
    <w:rsid w:val="656F3CFB"/>
    <w:rsid w:val="680E2045"/>
    <w:rsid w:val="6B4C4E76"/>
    <w:rsid w:val="6C444974"/>
    <w:rsid w:val="6D5375D0"/>
    <w:rsid w:val="6D9B3E96"/>
    <w:rsid w:val="6F3E6BA2"/>
    <w:rsid w:val="717B4C8B"/>
    <w:rsid w:val="72551301"/>
    <w:rsid w:val="75412A6D"/>
    <w:rsid w:val="79600399"/>
    <w:rsid w:val="797845C4"/>
    <w:rsid w:val="7B251E63"/>
    <w:rsid w:val="7B377FD8"/>
    <w:rsid w:val="7CAB1295"/>
    <w:rsid w:val="7E0368B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semiHidden="0" w:name="heading 3"/>
    <w:lsdException w:qFormat="1" w:unhideWhenUsed="0" w:uiPriority="1"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34"/>
      <w:jc w:val="center"/>
      <w:outlineLvl w:val="0"/>
    </w:pPr>
    <w:rPr>
      <w:b/>
      <w:bCs/>
      <w:sz w:val="32"/>
      <w:szCs w:val="32"/>
    </w:rPr>
  </w:style>
  <w:style w:type="paragraph" w:styleId="3">
    <w:name w:val="heading 2"/>
    <w:basedOn w:val="1"/>
    <w:next w:val="1"/>
    <w:qFormat/>
    <w:uiPriority w:val="1"/>
    <w:pPr>
      <w:spacing w:before="46"/>
      <w:ind w:left="931"/>
      <w:outlineLvl w:val="1"/>
    </w:pPr>
    <w:rPr>
      <w:b/>
      <w:bCs/>
      <w:sz w:val="28"/>
      <w:szCs w:val="28"/>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link w:val="40"/>
    <w:qFormat/>
    <w:uiPriority w:val="1"/>
    <w:pPr>
      <w:ind w:left="931"/>
      <w:outlineLvl w:val="3"/>
    </w:pPr>
    <w:rPr>
      <w:b/>
      <w:bCs/>
      <w:sz w:val="24"/>
      <w:szCs w:val="24"/>
    </w:rPr>
  </w:style>
  <w:style w:type="paragraph" w:styleId="6">
    <w:name w:val="heading 5"/>
    <w:basedOn w:val="1"/>
    <w:next w:val="1"/>
    <w:unhideWhenUsed/>
    <w:qFormat/>
    <w:uiPriority w:val="0"/>
    <w:pPr>
      <w:keepNext/>
      <w:keepLines/>
      <w:spacing w:line="372" w:lineRule="auto"/>
      <w:outlineLvl w:val="4"/>
    </w:pPr>
    <w:rPr>
      <w:b/>
      <w:sz w:val="28"/>
    </w:rPr>
  </w:style>
  <w:style w:type="character" w:default="1" w:styleId="14">
    <w:name w:val="Default Paragraph Font"/>
    <w:unhideWhenUsed/>
    <w:uiPriority w:val="1"/>
  </w:style>
  <w:style w:type="table" w:default="1" w:styleId="18">
    <w:name w:val="Normal Table"/>
    <w:unhideWhenUsed/>
    <w:uiPriority w:val="99"/>
    <w:tblPr>
      <w:tblStyle w:val="18"/>
      <w:tblLayout w:type="fixed"/>
      <w:tblCellMar>
        <w:top w:w="0" w:type="dxa"/>
        <w:left w:w="108" w:type="dxa"/>
        <w:bottom w:w="0" w:type="dxa"/>
        <w:right w:w="108" w:type="dxa"/>
      </w:tblCellMar>
    </w:tblPr>
    <w:tcPr>
      <w:textDirection w:val="lrTb"/>
    </w:tcPr>
  </w:style>
  <w:style w:type="paragraph" w:styleId="7">
    <w:name w:val="Document Map"/>
    <w:basedOn w:val="1"/>
    <w:link w:val="42"/>
    <w:qFormat/>
    <w:uiPriority w:val="0"/>
    <w:rPr>
      <w:sz w:val="18"/>
      <w:szCs w:val="18"/>
    </w:rPr>
  </w:style>
  <w:style w:type="paragraph" w:styleId="8">
    <w:name w:val="Body Text"/>
    <w:basedOn w:val="1"/>
    <w:qFormat/>
    <w:uiPriority w:val="1"/>
    <w:rPr>
      <w:sz w:val="24"/>
      <w:szCs w:val="24"/>
    </w:rPr>
  </w:style>
  <w:style w:type="paragraph" w:styleId="9">
    <w:name w:val="Body Text Indent"/>
    <w:basedOn w:val="1"/>
    <w:qFormat/>
    <w:uiPriority w:val="0"/>
    <w:pPr>
      <w:spacing w:line="500" w:lineRule="exact"/>
      <w:ind w:left="1588" w:leftChars="832" w:firstLine="433" w:firstLineChars="196"/>
    </w:pPr>
    <w:rPr>
      <w:sz w:val="24"/>
    </w:rPr>
  </w:style>
  <w:style w:type="paragraph" w:styleId="10">
    <w:name w:val="Balloon Text"/>
    <w:basedOn w:val="1"/>
    <w:link w:val="43"/>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3">
    <w:name w:val="Normal (Web)"/>
    <w:basedOn w:val="1"/>
    <w:qFormat/>
    <w:uiPriority w:val="0"/>
    <w:rPr>
      <w:rFonts w:cs="Times New Roman"/>
      <w:sz w:val="24"/>
      <w:lang w:val="en-US" w:bidi="ar-SA"/>
    </w:rPr>
  </w:style>
  <w:style w:type="character" w:styleId="15">
    <w:name w:val="Strong"/>
    <w:basedOn w:val="14"/>
    <w:qFormat/>
    <w:uiPriority w:val="0"/>
    <w:rPr>
      <w:b/>
    </w:rPr>
  </w:style>
  <w:style w:type="character" w:styleId="16">
    <w:name w:val="FollowedHyperlink"/>
    <w:basedOn w:val="14"/>
    <w:unhideWhenUsed/>
    <w:qFormat/>
    <w:uiPriority w:val="99"/>
    <w:rPr>
      <w:color w:val="800080"/>
      <w:u w:val="single"/>
    </w:rPr>
  </w:style>
  <w:style w:type="character" w:styleId="17">
    <w:name w:val="Hyperlink"/>
    <w:qFormat/>
    <w:uiPriority w:val="99"/>
    <w:rPr>
      <w:color w:val="000000"/>
      <w:sz w:val="18"/>
      <w:u w:val="none"/>
    </w:rPr>
  </w:style>
  <w:style w:type="table" w:styleId="19">
    <w:name w:val="Table Grid"/>
    <w:basedOn w:val="18"/>
    <w:qFormat/>
    <w:uiPriority w:val="0"/>
    <w:pPr>
      <w:widowControl w:val="0"/>
      <w:jc w:val="both"/>
    </w:pPr>
    <w:tblPr>
      <w:tblStyle w:val="1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20">
    <w:name w:val="Table Paragraph"/>
    <w:basedOn w:val="1"/>
    <w:qFormat/>
    <w:uiPriority w:val="1"/>
  </w:style>
  <w:style w:type="paragraph" w:customStyle="1" w:styleId="21">
    <w:name w:val="列出段落1"/>
    <w:basedOn w:val="1"/>
    <w:link w:val="41"/>
    <w:qFormat/>
    <w:uiPriority w:val="1"/>
    <w:pPr>
      <w:ind w:left="932" w:hanging="576"/>
    </w:pPr>
  </w:style>
  <w:style w:type="paragraph" w:customStyle="1" w:styleId="22">
    <w:name w:val="WPSOffice手动目录 1"/>
    <w:qFormat/>
    <w:uiPriority w:val="0"/>
    <w:rPr>
      <w:rFonts w:ascii="Calibri" w:hAnsi="Calibri" w:eastAsia="宋体" w:cs="Times New Roman"/>
      <w:lang w:val="en-US" w:eastAsia="zh-CN" w:bidi="ar-SA"/>
    </w:rPr>
  </w:style>
  <w:style w:type="paragraph" w:customStyle="1" w:styleId="23">
    <w:name w:val="WPSOffice手动目录 2"/>
    <w:qFormat/>
    <w:uiPriority w:val="0"/>
    <w:pPr>
      <w:ind w:left="200" w:leftChars="200"/>
    </w:pPr>
    <w:rPr>
      <w:rFonts w:ascii="Calibri" w:hAnsi="Calibri" w:eastAsia="宋体" w:cs="Times New Roman"/>
      <w:lang w:val="en-US" w:eastAsia="zh-CN" w:bidi="ar-SA"/>
    </w:rPr>
  </w:style>
  <w:style w:type="paragraph" w:customStyle="1" w:styleId="24">
    <w:name w:val="xl71"/>
    <w:basedOn w:val="1"/>
    <w:qFormat/>
    <w:uiPriority w:val="0"/>
    <w:pPr>
      <w:widowControl/>
      <w:spacing w:before="100" w:beforeAutospacing="1" w:after="100" w:afterAutospacing="1"/>
    </w:pPr>
    <w:rPr>
      <w:sz w:val="24"/>
      <w:szCs w:val="24"/>
      <w:lang w:val="en-US" w:bidi="ar-SA"/>
    </w:rPr>
  </w:style>
  <w:style w:type="paragraph" w:customStyle="1" w:styleId="25">
    <w:name w:val="xl72"/>
    <w:basedOn w:val="1"/>
    <w:qFormat/>
    <w:uiPriority w:val="0"/>
    <w:pPr>
      <w:widowControl/>
      <w:spacing w:before="100" w:beforeAutospacing="1" w:after="100" w:afterAutospacing="1"/>
      <w:jc w:val="center"/>
    </w:pPr>
    <w:rPr>
      <w:sz w:val="24"/>
      <w:szCs w:val="24"/>
      <w:lang w:val="en-US" w:bidi="ar-SA"/>
    </w:rPr>
  </w:style>
  <w:style w:type="paragraph" w:customStyle="1" w:styleId="26">
    <w:name w:val="xl73"/>
    <w:basedOn w:val="1"/>
    <w:uiPriority w:val="0"/>
    <w:pPr>
      <w:widowControl/>
      <w:spacing w:before="100" w:beforeAutospacing="1" w:after="100" w:afterAutospacing="1"/>
      <w:jc w:val="center"/>
    </w:pPr>
    <w:rPr>
      <w:sz w:val="24"/>
      <w:szCs w:val="24"/>
      <w:lang w:val="en-US" w:bidi="ar-SA"/>
    </w:rPr>
  </w:style>
  <w:style w:type="paragraph" w:customStyle="1" w:styleId="27">
    <w:name w:val="xl74"/>
    <w:basedOn w:val="1"/>
    <w:qFormat/>
    <w:uiPriority w:val="0"/>
    <w:pPr>
      <w:widowControl/>
      <w:spacing w:before="100" w:beforeAutospacing="1" w:after="100" w:afterAutospacing="1"/>
      <w:jc w:val="right"/>
    </w:pPr>
    <w:rPr>
      <w:sz w:val="24"/>
      <w:szCs w:val="24"/>
      <w:lang w:val="en-US" w:bidi="ar-SA"/>
    </w:rPr>
  </w:style>
  <w:style w:type="paragraph" w:customStyle="1" w:styleId="2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18"/>
      <w:szCs w:val="18"/>
      <w:lang w:val="en-US" w:bidi="ar-SA"/>
    </w:rPr>
  </w:style>
  <w:style w:type="paragraph" w:customStyle="1" w:styleId="2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18"/>
      <w:szCs w:val="18"/>
      <w:lang w:val="en-US" w:bidi="ar-SA"/>
    </w:rPr>
  </w:style>
  <w:style w:type="paragraph" w:customStyle="1" w:styleId="3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18"/>
      <w:szCs w:val="18"/>
      <w:lang w:val="en-US" w:bidi="ar-SA"/>
    </w:rPr>
  </w:style>
  <w:style w:type="paragraph" w:customStyle="1" w:styleId="3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sz w:val="18"/>
      <w:szCs w:val="18"/>
      <w:lang w:val="en-US" w:bidi="ar-SA"/>
    </w:rPr>
  </w:style>
  <w:style w:type="paragraph" w:customStyle="1" w:styleId="3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18"/>
      <w:szCs w:val="18"/>
      <w:lang w:val="en-US" w:bidi="ar-SA"/>
    </w:rPr>
  </w:style>
  <w:style w:type="paragraph" w:customStyle="1" w:styleId="33">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sz w:val="18"/>
      <w:szCs w:val="18"/>
      <w:lang w:val="en-US" w:bidi="ar-SA"/>
    </w:rPr>
  </w:style>
  <w:style w:type="paragraph" w:customStyle="1" w:styleId="34">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sz w:val="18"/>
      <w:szCs w:val="18"/>
      <w:lang w:val="en-US" w:bidi="ar-SA"/>
    </w:rPr>
  </w:style>
  <w:style w:type="paragraph" w:customStyle="1" w:styleId="35">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sz w:val="18"/>
      <w:szCs w:val="18"/>
      <w:lang w:val="en-US" w:bidi="ar-SA"/>
    </w:rPr>
  </w:style>
  <w:style w:type="paragraph" w:customStyle="1" w:styleId="36">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sz w:val="18"/>
      <w:szCs w:val="18"/>
      <w:lang w:val="en-US" w:bidi="ar-SA"/>
    </w:rPr>
  </w:style>
  <w:style w:type="paragraph" w:customStyle="1" w:styleId="37">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sz w:val="18"/>
      <w:szCs w:val="18"/>
      <w:lang w:val="en-US" w:bidi="ar-SA"/>
    </w:rPr>
  </w:style>
  <w:style w:type="paragraph" w:customStyle="1" w:styleId="38">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sz w:val="18"/>
      <w:szCs w:val="18"/>
      <w:lang w:val="en-US" w:bidi="ar-SA"/>
    </w:rPr>
  </w:style>
  <w:style w:type="paragraph" w:customStyle="1" w:styleId="39">
    <w:name w:val="列出段落11"/>
    <w:basedOn w:val="1"/>
    <w:qFormat/>
    <w:uiPriority w:val="1"/>
    <w:pPr>
      <w:ind w:left="932" w:hanging="576"/>
    </w:pPr>
  </w:style>
  <w:style w:type="character" w:customStyle="1" w:styleId="40">
    <w:name w:val="标题 4 Char"/>
    <w:link w:val="5"/>
    <w:qFormat/>
    <w:uiPriority w:val="0"/>
    <w:rPr>
      <w:rFonts w:ascii="宋体" w:hAnsi="宋体" w:eastAsia="宋体" w:cs="宋体"/>
      <w:b/>
      <w:bCs/>
      <w:sz w:val="24"/>
      <w:szCs w:val="24"/>
      <w:lang w:val="zh-CN" w:eastAsia="zh-CN" w:bidi="zh-CN"/>
    </w:rPr>
  </w:style>
  <w:style w:type="character" w:customStyle="1" w:styleId="41">
    <w:name w:val="列出段落 Char"/>
    <w:link w:val="21"/>
    <w:qFormat/>
    <w:uiPriority w:val="1"/>
    <w:rPr>
      <w:rFonts w:ascii="宋体" w:hAnsi="宋体" w:eastAsia="宋体" w:cs="宋体"/>
      <w:lang w:val="zh-CN" w:eastAsia="zh-CN" w:bidi="zh-CN"/>
    </w:rPr>
  </w:style>
  <w:style w:type="character" w:customStyle="1" w:styleId="42">
    <w:name w:val="文档结构图 Char"/>
    <w:basedOn w:val="14"/>
    <w:link w:val="7"/>
    <w:qFormat/>
    <w:uiPriority w:val="0"/>
    <w:rPr>
      <w:rFonts w:ascii="宋体" w:hAnsi="宋体" w:cs="宋体"/>
      <w:sz w:val="18"/>
      <w:szCs w:val="18"/>
      <w:lang w:val="zh-CN" w:bidi="zh-CN"/>
    </w:rPr>
  </w:style>
  <w:style w:type="character" w:customStyle="1" w:styleId="43">
    <w:name w:val="批注框文本 Char"/>
    <w:basedOn w:val="14"/>
    <w:link w:val="10"/>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47</Pages>
  <Words>4458</Words>
  <Characters>25412</Characters>
  <Lines>211</Lines>
  <Paragraphs>59</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2018-11-26T01:00:00Z</dcterms:created>
  <cp:lastModifiedBy>IBM</cp:lastModifiedBy>
  <cp:lastPrinted>2018-12-26T09:50:00Z</cp:lastPrinted>
  <dcterms:modified xsi:type="dcterms:W3CDTF">2019-04-25T13:40:56Z</dcterms:modified>
  <dc:title>金乡县人民医院检验科及病理科</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